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福建省军用饮食供应站采购军供厨房炊事饮食机械项目(三次)</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CGXM-2024-350001-08776[2024]06276</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[350001]JYXM[GK]2024007-2</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福建省军用饮食供应站</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福建省景业项目管理有限公司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2025年07月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福建省景业项目管理有限公司</w:t>
      </w:r>
      <w:r>
        <w:rPr>
          <w:rFonts w:ascii="仿宋_GB2312" w:hAnsi="仿宋_GB2312" w:cs="仿宋_GB2312" w:eastAsia="仿宋_GB2312"/>
        </w:rPr>
        <w:t xml:space="preserve"> 采用公开招标方式组织 </w:t>
      </w:r>
      <w:r>
        <w:rPr>
          <w:rFonts w:ascii="仿宋_GB2312" w:hAnsi="仿宋_GB2312" w:cs="仿宋_GB2312" w:eastAsia="仿宋_GB2312"/>
        </w:rPr>
        <w:t>福建省军用饮食供应站采购军供厨房炊事饮食机械项目(三次)</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CGXM-2024-350001-08776[2024]06276</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[350001]JYXM[GK]2024007-2</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适用于本项目，按照《关于印发节能产品政府采购品目清单的通知》财库〔2019〕19号执行或最新公布的品目清单执行。</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适用于本项目，按照《关于印发环境标志产品政府采购品目清单的通知》财库〔2019〕18号执行或最新公布的品目清单执行。</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采购包1：专门采购包预留</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专门采购包预留</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资格承诺函（说明）</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资格承诺函以该项为准）</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采用资格承诺制的供应商，须根据投标(响应)格式文件要求提供资格承诺函，否则，视为未按照招标文件规定提交投标人的资格及资信文件，按资格审查不合格处理。</w:t>
            </w:r>
          </w:p>
        </w:tc>
      </w:tr>
      <w:tr>
        <w:tc>
          <w:tcPr>
            <w:tcW w:type="dxa" w:w="3692"/>
          </w:tcPr>
          <w:p>
            <w:pPr>
              <w:pStyle w:val="null3"/>
              <w:jc w:val="left"/>
            </w:pPr>
            <w:r>
              <w:rPr>
                <w:rFonts w:ascii="仿宋_GB2312" w:hAnsi="仿宋_GB2312" w:cs="仿宋_GB2312" w:eastAsia="仿宋_GB2312"/>
              </w:rPr>
              <w:t>落实政府采购政策的证明材料（专门面向中小企业采购）</w:t>
            </w:r>
          </w:p>
        </w:tc>
        <w:tc>
          <w:tcPr>
            <w:tcW w:type="dxa" w:w="4614"/>
          </w:tcPr>
          <w:p>
            <w:pPr>
              <w:pStyle w:val="null3"/>
              <w:jc w:val="left"/>
            </w:pPr>
            <w:r>
              <w:rPr>
                <w:rFonts w:ascii="仿宋_GB2312" w:hAnsi="仿宋_GB2312" w:cs="仿宋_GB2312" w:eastAsia="仿宋_GB2312"/>
              </w:rPr>
              <w:t>本项目专门面向中小企业采购，非中小企业的将被拒绝，须提供相关证明材料：1、投标人提供的货物、工程或者服务符合《政府采购促进中小企业发展管理办法》(财库〔2020〕46号) 第四条规定的情形，应提供《中小企业声明函》。若投标人提供的《中小企业声明函》中填写的行业与采购文件明确的采购标的对应的中小企业划分标准所属行业不一致，则不予认定为中小企业。 2、投标人为监狱企业的视同小型和微型企业，可不提供《中小企业声明函》，但应当提供由省级以上监狱管理局、戒毒管理局(含新疆生产建设兵团)出具的属于监狱企业的证明文件。3、投标人为残疾人福利性单位的视同小型和微型企业，可不提供《中小企业声明函》，但应提供《残疾人福利性单位声明函》。本项目货物类采购，采购标的对应的中小企业划分标准所属行业为工业。</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福建省军用饮食供应站</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福州市鼓楼区大根路73号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王宁</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0591-87564077</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福建省景业项目管理有限公司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福州市仓山区金岩路56号A2栋三层318室</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350000</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朱梦君、叶锋、林维坚</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0591-83565002</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福建省景业项目管理有限公司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1,120,000.00</w:t>
      </w:r>
    </w:p>
    <w:p>
      <w:pPr>
        <w:pStyle w:val="null3"/>
        <w:jc w:val="left"/>
      </w:pPr>
      <w:r>
        <w:rPr>
          <w:rFonts w:ascii="仿宋_GB2312" w:hAnsi="仿宋_GB2312" w:cs="仿宋_GB2312" w:eastAsia="仿宋_GB2312"/>
        </w:rPr>
        <w:t>采购包最高限价（元）: 1,120,000.00</w:t>
      </w:r>
    </w:p>
    <w:p>
      <w:pPr>
        <w:pStyle w:val="null3"/>
        <w:jc w:val="left"/>
      </w:pPr>
      <w:r>
        <w:rPr>
          <w:rFonts w:ascii="仿宋_GB2312" w:hAnsi="仿宋_GB2312" w:cs="仿宋_GB2312" w:eastAsia="仿宋_GB2312"/>
        </w:rPr>
        <w:t>采购包保证金金额（元）: 11,200.00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饮食炊事机械</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1,120,000.00</w:t>
            </w:r>
          </w:p>
        </w:tc>
        <w:tc>
          <w:tcPr>
            <w:tcW w:type="dxa" w:w="1187"/>
          </w:tcPr>
          <w:p>
            <w:pPr>
              <w:pStyle w:val="null3"/>
              <w:jc w:val="left"/>
            </w:pPr>
            <w:r>
              <w:rPr>
                <w:rFonts w:ascii="仿宋_GB2312" w:hAnsi="仿宋_GB2312" w:cs="仿宋_GB2312" w:eastAsia="仿宋_GB2312"/>
              </w:rPr>
              <w:t>批</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饮食炊事机械</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饮食炊事机械</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饮食炊事机械</w:t>
            </w:r>
          </w:p>
        </w:tc>
        <w:tc>
          <w:tcPr>
            <w:tcW w:type="dxa" w:w="2076"/>
          </w:tcPr>
          <w:p>
            <w:pPr>
              <w:pStyle w:val="null3"/>
              <w:jc w:val="left"/>
            </w:pPr>
            <w:r>
              <w:rPr>
                <w:rFonts w:ascii="仿宋_GB2312" w:hAnsi="仿宋_GB2312" w:cs="仿宋_GB2312" w:eastAsia="仿宋_GB2312"/>
              </w:rPr>
              <w:t>饮食炊事机械</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1,120,000.00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(1)潜在投标人可自愿进行现场考察。考察时间为招标文件的获取截止时间后的第一个工作日上午9:00-10:00(须自行提前1天与采购人联系，并带上身份证原件、单位介绍信、获取采购文件回执或凭证)，逾期采购人将不再受理。 (2)潜在投标人对各种可预见问题均应考虑到，对于今后在履约中可能造成的费用，投标人应综合考虑在报价内。采购人对投标人实地考察后做出的任何推论、理解和结论均不负责任，实地考察所发生的费用及发生的意外均由潜在投标人自行承担。 (3)联系人：王宁，联系电话： 0591-87564077。</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福建省景业项目管理有限公司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福建省财政厅政府采购监督管理办公室</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代理服务费收费标准：1)以采购包的中标金额为计算基数，按差额定率累进法计算后收取代理服务费。招标代理服务收费的标准：100(万元)以下收费费率标准: 1.50%；100万元-500万元收费费率标准：1.1%。2）代理服务费的缴纳方式：a.中标人应在领取中标通知书的同时按规定的标准一次性向采购代理机构缴清代理服务费；b.代理服务费以银行转账、电汇、汇票或现金等付款方式缴纳；3）代理服务费缴交账号：开户名：福建省景业项目管理有限公司、开户行：中信银行股份有限公司福州金山支行 、账号：8111301012900914404 。</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1、投标人必须对其投标文件中提供各种资料、说明的真实性负责。在评标过程中，如有发现投标人有为谋取中标而提供虚假资料欺骗采购人和评委的行为，将取消其中标资格。若在中标后和执行合同过程中发现其提供虚假资料的将取消其中标资格，给采购人造成损失的，还必须进行赔偿并负相关责任。评标过程中无论是否有对原件进行核实，投标人都必须对其提供各种资料、说明的真实性负责。 2、投标人须保障采购人在使用该货物或其任何一部分时不受到第三方关于侵犯专利权、商标权或工业设计权等知识产权的指控。如果任何第三方提出侵权指控与采购人无关，投标人须与第三方交涉并承担可能发生的责任与一切费用。如采购人因此而遭致损失的，投标人应赔偿该损失。 3、质疑受理的其它要求：(1)在法定质疑期内质疑人须一次性提出针对同一采购程序环节的质疑，二（多）次质疑不予受理。质疑人递交质疑函时还应出具质疑人福建省政府采购网上公开信息系统上获取招标文件的证明文件（体现查看时间或获取招标文件时间）。【查看时间或获取招标文件时间以福建省政府采购网上公开信息系统记载为准。】</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关于投标人串通投标情形条款详见《关于福建省财政厅关于电子化政府采购项目中视为串标情形认定与处理的指导意见》闽财购〔2018〕30 号文件规定。</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福建省景业项目管理有限公司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福建省景业项目管理有限公司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福建省景业项目管理有限公司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福建省景业项目管理有限公司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福建省景业项目管理有限公司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福建省景业项目管理有限公司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福建省景业项目管理有限公司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福建省景业项目管理有限公司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福建省景业项目管理有限公司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福建省景业项目管理有限公司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福建省景业项目管理有限公司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福建省景业项目管理有限公司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 xml:space="preserve"> 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福建省景业项目管理有限公司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福建省景业项目管理有限公司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福建省景业项目管理有限公司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福建省景业项目管理有限公司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福建省景业项目管理有限公司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福建省景业项目管理有限公司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福建省景业项目管理有限公司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福建省景业项目管理有限公司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福建省景业项目管理有限公司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福建省景业项目管理有限公司</w:t>
      </w:r>
      <w:r>
        <w:rPr>
          <w:rFonts w:ascii="仿宋_GB2312" w:hAnsi="仿宋_GB2312" w:cs="仿宋_GB2312" w:eastAsia="仿宋_GB2312"/>
        </w:rPr>
        <w:t xml:space="preserve"> 提出询问， </w:t>
      </w:r>
      <w:r>
        <w:rPr>
          <w:rFonts w:ascii="仿宋_GB2312" w:hAnsi="仿宋_GB2312" w:cs="仿宋_GB2312" w:eastAsia="仿宋_GB2312"/>
        </w:rPr>
        <w:t>福建省景业项目管理有限公司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福建省景业项目管理有限公司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福建省景业项目管理有限公司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由福建省景业项目管理有限公司派出的工作人员至少1人，</w:t>
      </w:r>
      <w:r>
        <w:rPr>
          <w:rFonts w:ascii="仿宋_GB2312" w:hAnsi="仿宋_GB2312" w:cs="仿宋_GB2312" w:eastAsia="仿宋_GB2312"/>
        </w:rPr>
        <w:t>其余1人可为采购人代表或福建省景业项目管理有限公司的工作人员。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资格承诺函（说明）</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资格承诺函以该项为准）</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采用资格承诺制的供应商，须根据投标(响应)格式文件要求提供资格承诺函，否则，视为未按照招标文件规定提交投标人的资格及资信文件，按资格审查不合格处理。</w:t>
            </w:r>
          </w:p>
        </w:tc>
      </w:tr>
      <w:tr>
        <w:tc>
          <w:tcPr>
            <w:tcW w:type="dxa" w:w="3692"/>
          </w:tcPr>
          <w:p>
            <w:pPr>
              <w:pStyle w:val="null3"/>
              <w:jc w:val="left"/>
            </w:pPr>
            <w:r>
              <w:rPr>
                <w:rFonts w:ascii="仿宋_GB2312" w:hAnsi="仿宋_GB2312" w:cs="仿宋_GB2312" w:eastAsia="仿宋_GB2312"/>
              </w:rPr>
              <w:t>落实政府采购政策的证明材料（专门面向中小企业采购）</w:t>
            </w:r>
          </w:p>
        </w:tc>
        <w:tc>
          <w:tcPr>
            <w:tcW w:type="dxa" w:w="4614"/>
          </w:tcPr>
          <w:p>
            <w:pPr>
              <w:pStyle w:val="null3"/>
              <w:jc w:val="left"/>
            </w:pPr>
            <w:r>
              <w:rPr>
                <w:rFonts w:ascii="仿宋_GB2312" w:hAnsi="仿宋_GB2312" w:cs="仿宋_GB2312" w:eastAsia="仿宋_GB2312"/>
              </w:rPr>
              <w:t>本项目专门面向中小企业采购，非中小企业的将被拒绝，须提供相关证明材料：1、投标人提供的货物、工程或者服务符合《政府采购促进中小企业发展管理办法》(财库〔2020〕46号) 第四条规定的情形，应提供《中小企业声明函》。若投标人提供的《中小企业声明函》中填写的行业与采购文件明确的采购标的对应的中小企业划分标准所属行业不一致，则不予认定为中小企业。 2、投标人为监狱企业的视同小型和微型企业，可不提供《中小企业声明函》，但应当提供由省级以上监狱管理局、戒毒管理局(含新疆生产建设兵团)出具的属于监狱企业的证明文件。3、投标人为残疾人福利性单位的视同小型和微型企业，可不提供《中小企业声明函》，但应提供《残疾人福利性单位声明函》。本项目货物类采购，采购标的对应的中小企业划分标准所属行业为工业。</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资格及资信证明部分出现报价部分的全部或部分的投标报价信息（或组成资料）。</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出现招标文件中载明“资格审查不合格”条款的规定。</w:t>
            </w:r>
          </w:p>
        </w:tc>
      </w:tr>
    </w:tbl>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福建省景业项目管理有限公司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福建省景业项目管理有限公司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福建省景业项目管理有限公司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福建省景业项目管理有限公司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福建省景业项目管理有限公司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投标人的技术部分实际得分少于招标文件设定的技术部分总分50%，即视为技术部分未实质性响应招标文件要求，按无效标处理；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投标文件的技术部分中出现报价部分的全部或部分的投标报价信息（或组成资料），按无效投标处理；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属于招标文件规定评标委员会应否决其投标的情形，无效投标条款的。</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招标文件第五章“三、商务条件”中内容出现负偏离的，按无效投标处理；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投标文件的商务部分中出现报价部分的全部或部分的投标报价信息（或组成资料），按无效投标处理；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属于招标文件规定评标委员会应否决其投标的情形，无效投标条款的。</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评标委员会认为投标人的报价明显低于其他通过符合性审查投标人的报价，有可能影响货物质量或不能诚信履约的，应要求其在评标现场合理的时间内提供书面说明，必要时还应要求其一并提交有关证明材料；投标人不能证明其报价合理性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投标报价超出最高限价的。</w:t>
            </w:r>
          </w:p>
        </w:tc>
      </w:tr>
    </w:tbl>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福建省景业项目管理有限公司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价格项（F1×A1）满分为30.0000分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left"/>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left"/>
            </w:pPr>
            <w:r>
              <w:rPr>
                <w:rFonts w:ascii="仿宋_GB2312" w:hAnsi="仿宋_GB2312" w:cs="仿宋_GB2312" w:eastAsia="仿宋_GB2312"/>
              </w:rPr>
              <w:t>根据《福建省财政厅关于加强政府绿色采购工作的通知》（闽财规〔2024〕3号）文件，同一采购包内，对节能产品、环境标志产品政府采购品目清单范围内，实施优先采购的产品，给予产品价格报价10%的扣除，用扣除后的价格参加评审。注：①节能产品是指财政部、发展改革委最新公布的《节能产品政府采购品目清单》内且获得国家确定的认证机构出具的、处于有效期之内的产品认证证书的产品；环境标志产品是指生态环境部和财政部最新公布的《环境标志产品政府采购品目清单》内且获得国家确定的认证机构出具的、处于有效期之内的产品认证证书的产品；②同一采购包内的节能、环境标志产品部分价格扣除只对属于清单内的非强制类产品进行价格扣除，强制类产品不给予价格扣除。③若同一采购包内的节能、环境标志产品仅是构成报价产品的部件、组件或零件的，则不给予价格扣除。获得上述认证的产品在报价时应提供有效证明材料）。同一品目中各认证证书不重复计算价格扣除。属于政府强制采购的节能产品不享受价格扣除。注：本次采购货物中属政府强制采购节能产品的，投标人须提供属于节能（非强制类产品）、环境标志产品的证明资料（国家确定的认证机构出具的、处于有效期之内的产品认证证书复印件），并加盖投标人公章。④投标人在报价时必须对节能（非强制类产品）、环境标志产品单独分项报价，并于投标文件中提供属于节能（非强制类产品）、环境标志产品的证明资料（国家确定的认证机构出具的、处于有效期之内的产品认证证书复印件）。</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技术项（F2×A2）满分为62.0000分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1、技术要求响应情况</w:t>
            </w:r>
          </w:p>
        </w:tc>
        <w:tc>
          <w:tcPr>
            <w:tcW w:type="dxa" w:w="831"/>
          </w:tcPr>
          <w:p>
            <w:pPr>
              <w:pStyle w:val="null3"/>
              <w:jc w:val="right"/>
            </w:pPr>
            <w:r>
              <w:rPr>
                <w:rFonts w:ascii="仿宋_GB2312" w:hAnsi="仿宋_GB2312" w:cs="仿宋_GB2312" w:eastAsia="仿宋_GB2312"/>
              </w:rPr>
              <w:t>58.00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各投标人对招标内容及要求中的“二、技术服务及要求”的逐项响应承诺等方面情况由评委进行评议评分，投标人所投产品完全满足招标文件技术规范及要求的，得满分58分（共计29项）。技术参数每负偏离一项扣2分，满分58分，扣完为止，正偏离不加分。</w:t>
            </w:r>
          </w:p>
        </w:tc>
      </w:tr>
      <w:tr>
        <w:tc>
          <w:tcPr>
            <w:tcW w:type="dxa" w:w="3322"/>
          </w:tcPr>
          <w:p>
            <w:pPr>
              <w:pStyle w:val="null3"/>
              <w:jc w:val="both"/>
            </w:pPr>
            <w:r>
              <w:rPr>
                <w:rFonts w:ascii="仿宋_GB2312" w:hAnsi="仿宋_GB2312" w:cs="仿宋_GB2312" w:eastAsia="仿宋_GB2312"/>
              </w:rPr>
              <w:t>2、供货方案</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的供货方案（包括但不限于①供货计划；②供货管理制度；③供货保障措施等），由评标委员会进行评分：①方案描述内容全面（包含上述全部内容）、完整、详尽、符合实际现状的得2.0分； ②描述内容较全面、详实、部分描述稍有欠缺，但符合实际现状的得1.6分； ③描述内容简短但总体符合现状的得1.2分；方案不合理或未提供方案的本项不得分。</w:t>
            </w:r>
          </w:p>
        </w:tc>
      </w:tr>
      <w:tr>
        <w:tc>
          <w:tcPr>
            <w:tcW w:type="dxa" w:w="3322"/>
          </w:tcPr>
          <w:p>
            <w:pPr>
              <w:pStyle w:val="null3"/>
              <w:jc w:val="both"/>
            </w:pPr>
            <w:r>
              <w:rPr>
                <w:rFonts w:ascii="仿宋_GB2312" w:hAnsi="仿宋_GB2312" w:cs="仿宋_GB2312" w:eastAsia="仿宋_GB2312"/>
              </w:rPr>
              <w:t>3、安装施工方案</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的安装施工方案（包括但不限于①主要施工方法和技术措施；②设备安装调试；③施工进度及安全保障措施等），由评标委员会进行评分：①方案包含的要点齐全无缺漏项、内容与要点相符、内容完善且能够适用于本项目的得2.0分；②方案所包含的要点齐全、内容与要点相符，但仅有纲要内容简略，未展开阐述的得1.6分；③方案所包含的要点有缺漏的得1.2分；④未提供或内容存在错误的不得分。</w:t>
            </w:r>
          </w:p>
        </w:tc>
      </w:tr>
    </w:tbl>
    <w:p>
      <w:pPr>
        <w:pStyle w:val="null3"/>
        <w:jc w:val="both"/>
      </w:pPr>
      <w:r>
        <w:rPr>
          <w:rFonts w:ascii="仿宋_GB2312" w:hAnsi="仿宋_GB2312" w:cs="仿宋_GB2312" w:eastAsia="仿宋_GB2312"/>
        </w:rPr>
        <w:t>商务项（F3×A3）满分为8.0000分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1、业绩情况</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提供自2021年1月1日起至本项目投标截止时间止(日期以验收证明时间为准)由投标人所完成与本项目同类的业绩情况，由评委进行评议，每提供一份完整业绩的得1分，满分2分。注：投标人须同时提供中标/成交公告(提供相关网站中标/成交公告的下载网页并注明网址)、中标/成交通知书复印件、采购合同文本复印件，以及能够证明该业绩项目已经采购人验收合格的相关证明文件复印件，未同时提供以上证明材料的本项不得分。</w:t>
            </w:r>
          </w:p>
        </w:tc>
      </w:tr>
      <w:tr>
        <w:tc>
          <w:tcPr>
            <w:tcW w:type="dxa" w:w="3322"/>
          </w:tcPr>
          <w:p>
            <w:pPr>
              <w:pStyle w:val="null3"/>
              <w:jc w:val="left"/>
            </w:pPr>
            <w:r>
              <w:rPr>
                <w:rFonts w:ascii="仿宋_GB2312" w:hAnsi="仿宋_GB2312" w:cs="仿宋_GB2312" w:eastAsia="仿宋_GB2312"/>
              </w:rPr>
              <w:t>2、技术培训方案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投标人所提供的技术培训的可行性、合理性、实用性（包括安装、检验、调试、使用和维护、排除一般故障等方面的承诺）情况进行评分：①方案包含的要点齐全无缺漏项、内容与要点相符、内容完善且能够适用于本项目的得3分；②方案所包含的要点齐全、内容与要点相符，但仅有纲要内容简略，未展开阐述的得2.6分；③方案所包含的要点有缺漏的得2.3分；④未提供或内容存在错误的不得分。</w:t>
            </w:r>
          </w:p>
        </w:tc>
      </w:tr>
      <w:tr>
        <w:tc>
          <w:tcPr>
            <w:tcW w:type="dxa" w:w="3322"/>
          </w:tcPr>
          <w:p>
            <w:pPr>
              <w:pStyle w:val="null3"/>
              <w:jc w:val="left"/>
            </w:pPr>
            <w:r>
              <w:rPr>
                <w:rFonts w:ascii="仿宋_GB2312" w:hAnsi="仿宋_GB2312" w:cs="仿宋_GB2312" w:eastAsia="仿宋_GB2312"/>
              </w:rPr>
              <w:t>3、售后服务方案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投标人的维护和售后服务能力、售后服务承诺、维护响应计划等进行评分（包括具体的技术保障书、售后服务内容、故障响应方式及修复时间等方面情况），由评标委员会进行评分：①方案包含的要点齐全无缺漏项、内容与要点相符、内容完善且能够适用于本项目的得3分；②方案所包含的要点齐全、内容与要点相符，但仅有纲要内容简略，未展开阐述的得2.6分；③方案所包含的要点有缺漏的得2.3分；④未提供或内容存在错误的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1"/>
        </w:rPr>
        <w:t>投标人为本次项目提供的产品必须通过合法渠道获得，具有在中国境内的合法使用权和用户保护权，且要求产品所配模块及配件为原厂配件，产品的制造标准及技术规范等有关资料、产品质量必须执行国家相关标准、行业标准、地方标准或者其他标准、规范（从严）；具有国家规定的标准及规范，按最新的标准及规范执行；具有行业标准及规范的，按最新的标准及规范执行；具有其他标准及规范的，按照最新标准及规范执行。</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ind w:firstLine="480"/>
        <w:jc w:val="both"/>
      </w:pPr>
      <w:r>
        <w:rPr>
          <w:rFonts w:ascii="仿宋_GB2312" w:hAnsi="仿宋_GB2312" w:cs="仿宋_GB2312" w:eastAsia="仿宋_GB2312"/>
          <w:sz w:val="21"/>
          <w:b/>
          <w:shd w:fill="D9D9D9" w:val="clear"/>
        </w:rPr>
        <w:t>注：</w:t>
      </w:r>
    </w:p>
    <w:p>
      <w:pPr>
        <w:pStyle w:val="null3"/>
        <w:ind w:firstLine="482"/>
        <w:jc w:val="both"/>
      </w:pPr>
      <w:r>
        <w:rPr>
          <w:rFonts w:ascii="仿宋_GB2312" w:hAnsi="仿宋_GB2312" w:cs="仿宋_GB2312" w:eastAsia="仿宋_GB2312"/>
          <w:sz w:val="21"/>
          <w:b/>
          <w:shd w:fill="D9D9D9" w:val="clear"/>
        </w:rPr>
        <w:t>1.本章技术规格要求中未作出大于、小于等幅度表述的尺寸、重量、体积的，允许在规定的数值存在±2%的偏离。</w:t>
      </w:r>
    </w:p>
    <w:p>
      <w:pPr>
        <w:pStyle w:val="null3"/>
        <w:ind w:firstLine="482"/>
        <w:jc w:val="both"/>
      </w:pPr>
      <w:r>
        <w:rPr>
          <w:rFonts w:ascii="仿宋_GB2312" w:hAnsi="仿宋_GB2312" w:cs="仿宋_GB2312" w:eastAsia="仿宋_GB2312"/>
          <w:sz w:val="21"/>
          <w:b/>
          <w:shd w:fill="D9D9D9" w:val="clear"/>
        </w:rPr>
        <w:t>2.除招标文件另有规定外，若出现有关法律、法规和规章有强制性规定但招标文件未列明的情形，则投标人应按照有关法律、法规和规章强制性规定执行。</w:t>
      </w:r>
    </w:p>
    <w:p>
      <w:pPr>
        <w:pStyle w:val="null3"/>
        <w:ind w:firstLine="482"/>
        <w:jc w:val="both"/>
      </w:pPr>
      <w:r>
        <w:rPr>
          <w:rFonts w:ascii="仿宋_GB2312" w:hAnsi="仿宋_GB2312" w:cs="仿宋_GB2312" w:eastAsia="仿宋_GB2312"/>
          <w:sz w:val="21"/>
          <w:b/>
          <w:shd w:fill="D9D9D9" w:val="clear"/>
        </w:rPr>
        <w:t>3.技术要求中产品指标有要求检测标准的，如有最新检测标准可按最新标准执行。</w:t>
      </w:r>
    </w:p>
    <w:p>
      <w:pPr>
        <w:pStyle w:val="null3"/>
        <w:ind w:firstLine="482"/>
        <w:jc w:val="both"/>
      </w:pPr>
      <w:r>
        <w:rPr>
          <w:rFonts w:ascii="仿宋_GB2312" w:hAnsi="仿宋_GB2312" w:cs="仿宋_GB2312" w:eastAsia="仿宋_GB2312"/>
          <w:sz w:val="21"/>
          <w:b/>
          <w:shd w:fill="D9D9D9" w:val="clear"/>
        </w:rPr>
        <w:t>4.投标人所投产品中若有属国家强制性产品认证（CCC）规定的，须承诺其所投产品符合国家强制性要求，并能在货物验收时提供相应认证证书复印件。各投标人须针对此项提供单项承诺函，格式自拟，未提供或提供内容不符合要求的，按无效投标处理。</w:t>
      </w:r>
    </w:p>
    <w:p>
      <w:pPr>
        <w:pStyle w:val="null3"/>
        <w:ind w:firstLine="482"/>
        <w:jc w:val="both"/>
      </w:pPr>
      <w:r>
        <w:rPr>
          <w:rFonts w:ascii="仿宋_GB2312" w:hAnsi="仿宋_GB2312" w:cs="仿宋_GB2312" w:eastAsia="仿宋_GB2312"/>
          <w:sz w:val="21"/>
          <w:b/>
          <w:shd w:fill="D9D9D9" w:val="clear"/>
        </w:rPr>
        <w:t>5.根据《中华人民共和国工业产品生产许可证管理条例实施办法》及《国务院关于调整完赛工业产品生产许可证管理目录的决定》的相关规定，下列设备名称“序号1：自动炒菜机；序号2：万能蒸烤箱；序号3：自动电蒸柜；序号10：安装施工、辅助材料中新增电缆”，各投标人须针对此项提供单项承诺函（设备制造商已具备《全国工业产品生产许可证》，在交货时递交。），格式自拟，未提供或提供内容不符合要求的，按无效投标处理</w:t>
      </w:r>
      <w:r>
        <w:rPr>
          <w:rFonts w:ascii="仿宋_GB2312" w:hAnsi="仿宋_GB2312" w:cs="仿宋_GB2312" w:eastAsia="仿宋_GB2312"/>
          <w:sz w:val="21"/>
          <w:b/>
          <w:shd w:fill="D9D9D9" w:val="clear"/>
        </w:rPr>
        <w:t>。</w:t>
      </w:r>
    </w:p>
    <w:p>
      <w:pPr>
        <w:pStyle w:val="null3"/>
        <w:ind w:firstLine="422"/>
        <w:jc w:val="both"/>
      </w:pPr>
      <w:r>
        <w:rPr>
          <w:rFonts w:ascii="仿宋_GB2312" w:hAnsi="仿宋_GB2312" w:cs="仿宋_GB2312" w:eastAsia="仿宋_GB2312"/>
          <w:sz w:val="21"/>
          <w:b/>
          <w:shd w:fill="D9D9D9" w:val="clear"/>
        </w:rPr>
        <w:t>6</w:t>
      </w:r>
      <w:r>
        <w:rPr>
          <w:rFonts w:ascii="仿宋_GB2312" w:hAnsi="仿宋_GB2312" w:cs="仿宋_GB2312" w:eastAsia="仿宋_GB2312"/>
          <w:sz w:val="21"/>
          <w:b/>
          <w:shd w:fill="D9D9D9" w:val="clear"/>
        </w:rPr>
        <w:t>.本次采购货物属于《节能产品政府采购品目清单》中政府强制采购产品的（具体品目以“★”标注），投标人所投产品必须是财政部、国家发展改革委公示的《节能产品政府采购品目清单》产品，并提供产品的证明资料复印件（国家确定的认证机构出具的、处于有效期之内的节能产品认证证书）加盖投标人公章，否则视为无效投标。</w:t>
      </w:r>
    </w:p>
    <w:p>
      <w:pPr>
        <w:pStyle w:val="null3"/>
        <w:ind w:firstLine="422"/>
        <w:jc w:val="both"/>
      </w:pPr>
      <w:r>
        <w:rPr>
          <w:rFonts w:ascii="仿宋_GB2312" w:hAnsi="仿宋_GB2312" w:cs="仿宋_GB2312" w:eastAsia="仿宋_GB2312"/>
          <w:sz w:val="21"/>
          <w:b/>
          <w:shd w:fill="D9D9D9" w:val="clear"/>
        </w:rPr>
        <w:t>核心产品：序号</w:t>
      </w:r>
      <w:r>
        <w:rPr>
          <w:rFonts w:ascii="仿宋_GB2312" w:hAnsi="仿宋_GB2312" w:cs="仿宋_GB2312" w:eastAsia="仿宋_GB2312"/>
          <w:sz w:val="21"/>
          <w:b/>
          <w:shd w:fill="D9D9D9" w:val="clear"/>
        </w:rPr>
        <w:t>1</w:t>
      </w:r>
      <w:r>
        <w:rPr>
          <w:rFonts w:ascii="仿宋_GB2312" w:hAnsi="仿宋_GB2312" w:cs="仿宋_GB2312" w:eastAsia="仿宋_GB2312"/>
          <w:sz w:val="21"/>
          <w:b/>
          <w:shd w:fill="D9D9D9" w:val="clear"/>
        </w:rPr>
        <w:t>：自动炒菜机。</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407"/>
        <w:gridCol w:w="829"/>
        <w:gridCol w:w="5231"/>
        <w:gridCol w:w="920"/>
        <w:gridCol w:w="920"/>
      </w:tblGrid>
      <w:tr>
        <w:tc>
          <w:tcPr>
            <w:tcW w:type="dxa" w:w="8307"/>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1"/>
                <w:b/>
              </w:rPr>
              <w:t>军供厨房饮食炊事机械项目采购设备和技术参数</w:t>
            </w: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8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设备名称</w:t>
            </w:r>
          </w:p>
        </w:tc>
        <w:tc>
          <w:tcPr>
            <w:tcW w:type="dxa" w:w="52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技术参数</w:t>
            </w:r>
          </w:p>
        </w:tc>
        <w:tc>
          <w:tcPr>
            <w:tcW w:type="dxa" w:w="9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9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评标项数</w:t>
            </w: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◆自动炒菜机</w:t>
            </w:r>
            <w:r>
              <w:rPr>
                <w:rFonts w:ascii="仿宋_GB2312" w:hAnsi="仿宋_GB2312" w:cs="仿宋_GB2312" w:eastAsia="仿宋_GB2312"/>
                <w:sz w:val="21"/>
                <w:b/>
              </w:rPr>
              <w:t>（核心产品）</w:t>
            </w:r>
          </w:p>
        </w:tc>
        <w:tc>
          <w:tcPr>
            <w:tcW w:type="dxa" w:w="5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1.规格（长宽高）（mm）：≤1603*≤1300*≤1850。额定电压/额定功率：380V/28KW--35KW。产能以单餐满足1000人次、一天满足5000人次为标准。单餐炖菜、炒菜能力≥50kg，单餐调汤能力≥50kg。</w:t>
            </w:r>
          </w:p>
          <w:p>
            <w:pPr>
              <w:pStyle w:val="null3"/>
              <w:jc w:val="left"/>
            </w:pPr>
            <w:r>
              <w:rPr>
                <w:rFonts w:ascii="仿宋_GB2312" w:hAnsi="仿宋_GB2312" w:cs="仿宋_GB2312" w:eastAsia="仿宋_GB2312"/>
                <w:sz w:val="21"/>
              </w:rPr>
              <w:t>2.实现全自动炒菜，具备语音提示、故障自诊断及提示、制餐后设备自动清洗等功能。制餐时可根据预先设置的菜品，实现制餐过程中的食材、油、水、调味品的自动按标准量添加，自动煸炒、开关火、出菜、停机。智能炒菜机具有炒菜功能的同时，还要具有炖菜、调汤等功能。多档位加热，精准控温（不少于二挡）。</w:t>
            </w:r>
          </w:p>
          <w:p>
            <w:pPr>
              <w:pStyle w:val="null3"/>
              <w:jc w:val="left"/>
            </w:pPr>
            <w:r>
              <w:rPr>
                <w:rFonts w:ascii="仿宋_GB2312" w:hAnsi="仿宋_GB2312" w:cs="仿宋_GB2312" w:eastAsia="仿宋_GB2312"/>
                <w:sz w:val="21"/>
              </w:rPr>
              <w:t>3.锅具材质达到食品级标准，接触食材部分符合国标GB4806系列标准，整机不锈钢板材抗菌符合GB21551.2-2010或以上标准。</w:t>
            </w:r>
            <w:r>
              <w:rPr>
                <w:rFonts w:ascii="仿宋_GB2312" w:hAnsi="仿宋_GB2312" w:cs="仿宋_GB2312" w:eastAsia="仿宋_GB2312"/>
                <w:sz w:val="21"/>
                <w:b/>
              </w:rPr>
              <w:t>（须提供满足以上要求的检测报告，具有</w:t>
            </w:r>
            <w:r>
              <w:rPr>
                <w:rFonts w:ascii="仿宋_GB2312" w:hAnsi="仿宋_GB2312" w:cs="仿宋_GB2312" w:eastAsia="仿宋_GB2312"/>
                <w:sz w:val="21"/>
                <w:b/>
              </w:rPr>
              <w:t>CMA标识的检测报告复印件或第三方出具的检测报告复印件进行佐证。）</w:t>
            </w:r>
          </w:p>
          <w:p>
            <w:pPr>
              <w:pStyle w:val="null3"/>
              <w:jc w:val="left"/>
            </w:pPr>
            <w:r>
              <w:rPr>
                <w:rFonts w:ascii="仿宋_GB2312" w:hAnsi="仿宋_GB2312" w:cs="仿宋_GB2312" w:eastAsia="仿宋_GB2312"/>
                <w:sz w:val="21"/>
              </w:rPr>
              <w:t>4.不锈钢板材防锈经≥1000h中性盐雾试验符合GB/T10125-2021或以上标准。</w:t>
            </w:r>
            <w:r>
              <w:rPr>
                <w:rFonts w:ascii="仿宋_GB2312" w:hAnsi="仿宋_GB2312" w:cs="仿宋_GB2312" w:eastAsia="仿宋_GB2312"/>
                <w:sz w:val="21"/>
                <w:b/>
              </w:rPr>
              <w:t>（须提供满足以上要求的检测报告，具有</w:t>
            </w:r>
            <w:r>
              <w:rPr>
                <w:rFonts w:ascii="仿宋_GB2312" w:hAnsi="仿宋_GB2312" w:cs="仿宋_GB2312" w:eastAsia="仿宋_GB2312"/>
                <w:sz w:val="21"/>
                <w:b/>
              </w:rPr>
              <w:t>CMA标识的检测报告复印件或第三方出具的检测报告复印件进行佐证。）</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2台</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共</w:t>
            </w:r>
            <w:r>
              <w:rPr>
                <w:rFonts w:ascii="仿宋_GB2312" w:hAnsi="仿宋_GB2312" w:cs="仿宋_GB2312" w:eastAsia="仿宋_GB2312"/>
                <w:sz w:val="21"/>
              </w:rPr>
              <w:t>4项</w:t>
            </w: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万能蒸烤箱</w:t>
            </w:r>
          </w:p>
        </w:tc>
        <w:tc>
          <w:tcPr>
            <w:tcW w:type="dxa" w:w="5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1.规格（长宽高）（mm）：≤1084*≤996*≤1913</w:t>
            </w:r>
            <w:r>
              <w:rPr>
                <w:rFonts w:ascii="仿宋_GB2312" w:hAnsi="仿宋_GB2312" w:cs="仿宋_GB2312" w:eastAsia="仿宋_GB2312"/>
                <w:sz w:val="19"/>
              </w:rPr>
              <w:t>。</w:t>
            </w:r>
            <w:r>
              <w:rPr>
                <w:rFonts w:ascii="仿宋_GB2312" w:hAnsi="仿宋_GB2312" w:cs="仿宋_GB2312" w:eastAsia="仿宋_GB2312"/>
                <w:sz w:val="21"/>
              </w:rPr>
              <w:t>额定电压</w:t>
            </w:r>
            <w:r>
              <w:rPr>
                <w:rFonts w:ascii="仿宋_GB2312" w:hAnsi="仿宋_GB2312" w:cs="仿宋_GB2312" w:eastAsia="仿宋_GB2312"/>
                <w:sz w:val="21"/>
              </w:rPr>
              <w:t>/额定功率：380V/36KW--38KW。产能按以单餐满足1000人次、一天满足5000人次为标准。</w:t>
            </w:r>
          </w:p>
          <w:p>
            <w:pPr>
              <w:pStyle w:val="null3"/>
              <w:jc w:val="left"/>
            </w:pPr>
            <w:r>
              <w:rPr>
                <w:rFonts w:ascii="仿宋_GB2312" w:hAnsi="仿宋_GB2312" w:cs="仿宋_GB2312" w:eastAsia="仿宋_GB2312"/>
                <w:sz w:val="21"/>
              </w:rPr>
              <w:t>2.具有蒸、烤、蒸烤混合等多种烹饪方式，有显示屏，操作可视化，简单明了。具有自动清洗功能。</w:t>
            </w:r>
          </w:p>
          <w:p>
            <w:pPr>
              <w:pStyle w:val="null3"/>
              <w:jc w:val="left"/>
            </w:pPr>
            <w:r>
              <w:rPr>
                <w:rFonts w:ascii="仿宋_GB2312" w:hAnsi="仿宋_GB2312" w:cs="仿宋_GB2312" w:eastAsia="仿宋_GB2312"/>
                <w:sz w:val="21"/>
              </w:rPr>
              <w:t>3.整机内部材质达到食品级标准，接触食材部分符合国标GB4806系列标准，整机不锈钢板材抗菌符合GB21551.2-2010或以上标准。</w:t>
            </w:r>
            <w:r>
              <w:rPr>
                <w:rFonts w:ascii="仿宋_GB2312" w:hAnsi="仿宋_GB2312" w:cs="仿宋_GB2312" w:eastAsia="仿宋_GB2312"/>
                <w:sz w:val="21"/>
                <w:b/>
              </w:rPr>
              <w:t>（须提供满足以上要求的检测报告，具有</w:t>
            </w:r>
            <w:r>
              <w:rPr>
                <w:rFonts w:ascii="仿宋_GB2312" w:hAnsi="仿宋_GB2312" w:cs="仿宋_GB2312" w:eastAsia="仿宋_GB2312"/>
                <w:sz w:val="21"/>
                <w:b/>
              </w:rPr>
              <w:t>CMA标识的检测报告复印件或第三方出具的检测报告复印件进行佐证。）</w:t>
            </w:r>
          </w:p>
          <w:p>
            <w:pPr>
              <w:pStyle w:val="null3"/>
              <w:jc w:val="left"/>
            </w:pPr>
            <w:r>
              <w:rPr>
                <w:rFonts w:ascii="仿宋_GB2312" w:hAnsi="仿宋_GB2312" w:cs="仿宋_GB2312" w:eastAsia="仿宋_GB2312"/>
                <w:sz w:val="21"/>
              </w:rPr>
              <w:t>4.不锈钢板材防锈经≥1000h中性盐雾试验符合GB/T10125-2021或以上标准。</w:t>
            </w:r>
            <w:r>
              <w:rPr>
                <w:rFonts w:ascii="仿宋_GB2312" w:hAnsi="仿宋_GB2312" w:cs="仿宋_GB2312" w:eastAsia="仿宋_GB2312"/>
                <w:sz w:val="21"/>
                <w:b/>
              </w:rPr>
              <w:t>（须提供满足以上要求的检测报告，具有</w:t>
            </w:r>
            <w:r>
              <w:rPr>
                <w:rFonts w:ascii="仿宋_GB2312" w:hAnsi="仿宋_GB2312" w:cs="仿宋_GB2312" w:eastAsia="仿宋_GB2312"/>
                <w:sz w:val="21"/>
                <w:b/>
              </w:rPr>
              <w:t>CMA标识的检测报告复印件或第三方出具的检测报告复印件进行佐证。）</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共</w:t>
            </w:r>
            <w:r>
              <w:rPr>
                <w:rFonts w:ascii="仿宋_GB2312" w:hAnsi="仿宋_GB2312" w:cs="仿宋_GB2312" w:eastAsia="仿宋_GB2312"/>
                <w:sz w:val="21"/>
              </w:rPr>
              <w:t>4项</w:t>
            </w: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自动电蒸柜</w:t>
            </w:r>
          </w:p>
        </w:tc>
        <w:tc>
          <w:tcPr>
            <w:tcW w:type="dxa" w:w="5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1.规格（长宽高）（mm）：≤1540*≤1100*≤1850。额定电压/额定功率：380V/24KW--37KW。产能以单餐满足1000人次、一天满足5000人次为标准。单餐单台蒸饭能力≥250kg。</w:t>
            </w:r>
          </w:p>
          <w:p>
            <w:pPr>
              <w:pStyle w:val="null3"/>
              <w:jc w:val="left"/>
            </w:pPr>
            <w:r>
              <w:rPr>
                <w:rFonts w:ascii="仿宋_GB2312" w:hAnsi="仿宋_GB2312" w:cs="仿宋_GB2312" w:eastAsia="仿宋_GB2312"/>
                <w:sz w:val="21"/>
              </w:rPr>
              <w:t>2.具备蒸饭、面食、煲汤、海鲜、蒸罐、蒸蛋、等保温功能，有显示屏，操作可视化，简单明了。</w:t>
            </w:r>
          </w:p>
          <w:p>
            <w:pPr>
              <w:pStyle w:val="null3"/>
              <w:jc w:val="left"/>
            </w:pPr>
            <w:r>
              <w:rPr>
                <w:rFonts w:ascii="仿宋_GB2312" w:hAnsi="仿宋_GB2312" w:cs="仿宋_GB2312" w:eastAsia="仿宋_GB2312"/>
                <w:sz w:val="21"/>
              </w:rPr>
              <w:t>3.整机内部材质（含硅胶等）达到食品级标准，接触食材部分符合国标GB4806系列标准，整机不锈钢板材抗菌符合GB21551.2-2010或以上标准。</w:t>
            </w:r>
            <w:r>
              <w:rPr>
                <w:rFonts w:ascii="仿宋_GB2312" w:hAnsi="仿宋_GB2312" w:cs="仿宋_GB2312" w:eastAsia="仿宋_GB2312"/>
                <w:sz w:val="21"/>
                <w:b/>
              </w:rPr>
              <w:t>（须提供满足以上要求的检测报告，具有</w:t>
            </w:r>
            <w:r>
              <w:rPr>
                <w:rFonts w:ascii="仿宋_GB2312" w:hAnsi="仿宋_GB2312" w:cs="仿宋_GB2312" w:eastAsia="仿宋_GB2312"/>
                <w:sz w:val="21"/>
                <w:b/>
              </w:rPr>
              <w:t>CMA标识的检测报告复印件或第三方出具的检测报告复印件进行佐证。）</w:t>
            </w:r>
          </w:p>
          <w:p>
            <w:pPr>
              <w:pStyle w:val="null3"/>
              <w:jc w:val="left"/>
            </w:pPr>
            <w:r>
              <w:rPr>
                <w:rFonts w:ascii="仿宋_GB2312" w:hAnsi="仿宋_GB2312" w:cs="仿宋_GB2312" w:eastAsia="仿宋_GB2312"/>
                <w:sz w:val="21"/>
              </w:rPr>
              <w:t>4.不锈钢板材防锈经≥1000h中性盐雾试验符合GB/T10125-2021或以上标准。</w:t>
            </w:r>
            <w:r>
              <w:rPr>
                <w:rFonts w:ascii="仿宋_GB2312" w:hAnsi="仿宋_GB2312" w:cs="仿宋_GB2312" w:eastAsia="仿宋_GB2312"/>
                <w:sz w:val="21"/>
                <w:b/>
              </w:rPr>
              <w:t>（须提供满足以上要求的检测报告，具有</w:t>
            </w:r>
            <w:r>
              <w:rPr>
                <w:rFonts w:ascii="仿宋_GB2312" w:hAnsi="仿宋_GB2312" w:cs="仿宋_GB2312" w:eastAsia="仿宋_GB2312"/>
                <w:sz w:val="21"/>
                <w:b/>
              </w:rPr>
              <w:t>CMA标识的检测报告复印件或第三方出具的检测报告复印件进行佐证。）</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2台</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共</w:t>
            </w:r>
            <w:r>
              <w:rPr>
                <w:rFonts w:ascii="仿宋_GB2312" w:hAnsi="仿宋_GB2312" w:cs="仿宋_GB2312" w:eastAsia="仿宋_GB2312"/>
                <w:sz w:val="21"/>
              </w:rPr>
              <w:t>4项</w:t>
            </w: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多功能绞切肉机</w:t>
            </w:r>
          </w:p>
        </w:tc>
        <w:tc>
          <w:tcPr>
            <w:tcW w:type="dxa" w:w="5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1.规格（长宽高）（mm）：≤650*≤800*≤850。额定电压/额定功率：220V--380V/1.1KW--2.5KW。可以切肉片，可以绞肉，可调节切片厚度。绞肉产量≥250kg/h，切片产量≥400kg/h。</w:t>
            </w:r>
          </w:p>
          <w:p>
            <w:pPr>
              <w:pStyle w:val="null3"/>
              <w:jc w:val="left"/>
            </w:pPr>
            <w:r>
              <w:rPr>
                <w:rFonts w:ascii="仿宋_GB2312" w:hAnsi="仿宋_GB2312" w:cs="仿宋_GB2312" w:eastAsia="仿宋_GB2312"/>
                <w:sz w:val="21"/>
              </w:rPr>
              <w:t>2.绞切肉机材质达到食品级标准，食材接触部分符合国标GB4806系列标准，整机不锈钢板材抗菌符合GB21551.2-2010或以上标准。</w:t>
            </w:r>
            <w:r>
              <w:rPr>
                <w:rFonts w:ascii="仿宋_GB2312" w:hAnsi="仿宋_GB2312" w:cs="仿宋_GB2312" w:eastAsia="仿宋_GB2312"/>
                <w:sz w:val="21"/>
                <w:b/>
              </w:rPr>
              <w:t>（须提供满足以上要求的检测报告，具有</w:t>
            </w:r>
            <w:r>
              <w:rPr>
                <w:rFonts w:ascii="仿宋_GB2312" w:hAnsi="仿宋_GB2312" w:cs="仿宋_GB2312" w:eastAsia="仿宋_GB2312"/>
                <w:sz w:val="21"/>
                <w:b/>
              </w:rPr>
              <w:t>CMA标识的检测报告复印件或第三方出具的检测报告复印件进行佐证。）</w:t>
            </w:r>
          </w:p>
          <w:p>
            <w:pPr>
              <w:pStyle w:val="null3"/>
              <w:jc w:val="left"/>
            </w:pPr>
            <w:r>
              <w:rPr>
                <w:rFonts w:ascii="仿宋_GB2312" w:hAnsi="仿宋_GB2312" w:cs="仿宋_GB2312" w:eastAsia="仿宋_GB2312"/>
                <w:sz w:val="21"/>
              </w:rPr>
              <w:t>3.不锈钢板材防锈经≥1000h中性盐雾试验符合GB/T10125-2021或以上标准。</w:t>
            </w:r>
            <w:r>
              <w:rPr>
                <w:rFonts w:ascii="仿宋_GB2312" w:hAnsi="仿宋_GB2312" w:cs="仿宋_GB2312" w:eastAsia="仿宋_GB2312"/>
                <w:sz w:val="21"/>
                <w:b/>
              </w:rPr>
              <w:t>（须提供满足以上要求的检测报告，具有</w:t>
            </w:r>
            <w:r>
              <w:rPr>
                <w:rFonts w:ascii="仿宋_GB2312" w:hAnsi="仿宋_GB2312" w:cs="仿宋_GB2312" w:eastAsia="仿宋_GB2312"/>
                <w:sz w:val="21"/>
                <w:b/>
              </w:rPr>
              <w:t>CMA标识的检测报告复印件或第三方出具的检测报告复印件进行佐证。）</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共</w:t>
            </w:r>
            <w:r>
              <w:rPr>
                <w:rFonts w:ascii="仿宋_GB2312" w:hAnsi="仿宋_GB2312" w:cs="仿宋_GB2312" w:eastAsia="仿宋_GB2312"/>
                <w:sz w:val="21"/>
              </w:rPr>
              <w:t>3项</w:t>
            </w: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智能切菜机</w:t>
            </w:r>
            <w:r>
              <w:rPr>
                <w:rFonts w:ascii="仿宋_GB2312" w:hAnsi="仿宋_GB2312" w:cs="仿宋_GB2312" w:eastAsia="仿宋_GB2312"/>
                <w:sz w:val="21"/>
              </w:rPr>
              <w:t>(带屏)</w:t>
            </w:r>
          </w:p>
        </w:tc>
        <w:tc>
          <w:tcPr>
            <w:tcW w:type="dxa" w:w="5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长宽高）（mm）：≤1400*≤700*≤1400。额定电压/额定功率：220V--380V/1.6KW--2.6KW。蔬菜切成片、丝、丁、块，叶菜类600—1000公斤/h，根茎类300—1000公斤/h。叶菜切段切割规格可调节，根茎类切片、球茎类切丁、球茎类切丝的规格可调节。</w:t>
            </w:r>
          </w:p>
          <w:p>
            <w:pPr>
              <w:pStyle w:val="null3"/>
              <w:jc w:val="left"/>
            </w:pPr>
            <w:r>
              <w:rPr>
                <w:rFonts w:ascii="仿宋_GB2312" w:hAnsi="仿宋_GB2312" w:cs="仿宋_GB2312" w:eastAsia="仿宋_GB2312"/>
                <w:sz w:val="21"/>
              </w:rPr>
              <w:t>2.切菜机材质达到食品级标准，食材接触部分符合国标GB4806系列标准，整机不锈钢板材抗菌符合GB21551.2-2010或以上标准。</w:t>
            </w:r>
            <w:r>
              <w:rPr>
                <w:rFonts w:ascii="仿宋_GB2312" w:hAnsi="仿宋_GB2312" w:cs="仿宋_GB2312" w:eastAsia="仿宋_GB2312"/>
                <w:sz w:val="21"/>
                <w:b/>
              </w:rPr>
              <w:t>（须提供满足以上要求的检测报告，具有</w:t>
            </w:r>
            <w:r>
              <w:rPr>
                <w:rFonts w:ascii="仿宋_GB2312" w:hAnsi="仿宋_GB2312" w:cs="仿宋_GB2312" w:eastAsia="仿宋_GB2312"/>
                <w:sz w:val="21"/>
                <w:b/>
              </w:rPr>
              <w:t>CMA标识的检测报告复印件或第三方出具的检测报告复印件进行佐证。）</w:t>
            </w:r>
          </w:p>
          <w:p>
            <w:pPr>
              <w:pStyle w:val="null3"/>
              <w:jc w:val="left"/>
            </w:pPr>
            <w:r>
              <w:rPr>
                <w:rFonts w:ascii="仿宋_GB2312" w:hAnsi="仿宋_GB2312" w:cs="仿宋_GB2312" w:eastAsia="仿宋_GB2312"/>
                <w:sz w:val="21"/>
              </w:rPr>
              <w:t>3.不锈钢板材防锈经≥1000h中性盐雾试验符合GB/T10125-2021或以上标准。</w:t>
            </w:r>
            <w:r>
              <w:rPr>
                <w:rFonts w:ascii="仿宋_GB2312" w:hAnsi="仿宋_GB2312" w:cs="仿宋_GB2312" w:eastAsia="仿宋_GB2312"/>
                <w:sz w:val="21"/>
                <w:b/>
              </w:rPr>
              <w:t>（须提供满足以上要求的检测报告，具有</w:t>
            </w:r>
            <w:r>
              <w:rPr>
                <w:rFonts w:ascii="仿宋_GB2312" w:hAnsi="仿宋_GB2312" w:cs="仿宋_GB2312" w:eastAsia="仿宋_GB2312"/>
                <w:sz w:val="21"/>
                <w:b/>
              </w:rPr>
              <w:t>CMA标识的检测报告复印件或第三方出具的检测报告复印件进行佐证。）</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共</w:t>
            </w:r>
            <w:r>
              <w:rPr>
                <w:rFonts w:ascii="仿宋_GB2312" w:hAnsi="仿宋_GB2312" w:cs="仿宋_GB2312" w:eastAsia="仿宋_GB2312"/>
                <w:sz w:val="21"/>
              </w:rPr>
              <w:t>3项</w:t>
            </w: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自动封膜机</w:t>
            </w:r>
          </w:p>
        </w:tc>
        <w:tc>
          <w:tcPr>
            <w:tcW w:type="dxa" w:w="5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1.规格（长宽高）（mm）：≤2900*≤1400*≤1800。额定电压/额定功率：220V--380V/不小于5KW。可根据包装容器规格及形状定制，一次封装≥10Pcs。具有可自动完成推送、封口等功能。</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共</w:t>
            </w:r>
            <w:r>
              <w:rPr>
                <w:rFonts w:ascii="仿宋_GB2312" w:hAnsi="仿宋_GB2312" w:cs="仿宋_GB2312" w:eastAsia="仿宋_GB2312"/>
                <w:sz w:val="21"/>
              </w:rPr>
              <w:t>1项</w:t>
            </w: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连续式打饭线</w:t>
            </w:r>
          </w:p>
        </w:tc>
        <w:tc>
          <w:tcPr>
            <w:tcW w:type="dxa" w:w="5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1.规格（长宽高）（mm）：≤4000*≤1470*≤2100。额定电压：220V--380V。具备自动定位，自动分取餐盒，自动放置餐盒、自动分饭、进盒输送线、自动封盒等功能。自动分饭产量：≥1000份/h。</w:t>
            </w:r>
          </w:p>
          <w:p>
            <w:pPr>
              <w:pStyle w:val="null3"/>
              <w:jc w:val="left"/>
            </w:pPr>
            <w:r>
              <w:rPr>
                <w:rFonts w:ascii="仿宋_GB2312" w:hAnsi="仿宋_GB2312" w:cs="仿宋_GB2312" w:eastAsia="仿宋_GB2312"/>
                <w:sz w:val="21"/>
              </w:rPr>
              <w:t>2.米饭分装机所用板材、传送带达到食品级标准，食材接触部分符合国标GB4806系列标准，整机不锈钢板材抗菌符合GB21551.2-2010或以上标准。</w:t>
            </w:r>
            <w:r>
              <w:rPr>
                <w:rFonts w:ascii="仿宋_GB2312" w:hAnsi="仿宋_GB2312" w:cs="仿宋_GB2312" w:eastAsia="仿宋_GB2312"/>
                <w:sz w:val="21"/>
                <w:b/>
              </w:rPr>
              <w:t>（须提供满足以上要求的检测报告，具有</w:t>
            </w:r>
            <w:r>
              <w:rPr>
                <w:rFonts w:ascii="仿宋_GB2312" w:hAnsi="仿宋_GB2312" w:cs="仿宋_GB2312" w:eastAsia="仿宋_GB2312"/>
                <w:sz w:val="21"/>
                <w:b/>
              </w:rPr>
              <w:t>CMA标识的检测报告复印件或第三方出具的检测报告复印件进行佐证。）</w:t>
            </w:r>
          </w:p>
          <w:p>
            <w:pPr>
              <w:pStyle w:val="null3"/>
              <w:jc w:val="left"/>
            </w:pPr>
            <w:r>
              <w:rPr>
                <w:rFonts w:ascii="仿宋_GB2312" w:hAnsi="仿宋_GB2312" w:cs="仿宋_GB2312" w:eastAsia="仿宋_GB2312"/>
                <w:sz w:val="21"/>
              </w:rPr>
              <w:t>3.不锈钢板材防锈经≥1000h中性盐雾试验符合GB/T10125-2021或以上标准。</w:t>
            </w:r>
            <w:r>
              <w:rPr>
                <w:rFonts w:ascii="仿宋_GB2312" w:hAnsi="仿宋_GB2312" w:cs="仿宋_GB2312" w:eastAsia="仿宋_GB2312"/>
                <w:sz w:val="21"/>
                <w:b/>
              </w:rPr>
              <w:t>（须提供满足以上要求的检测报告，具有</w:t>
            </w:r>
            <w:r>
              <w:rPr>
                <w:rFonts w:ascii="仿宋_GB2312" w:hAnsi="仿宋_GB2312" w:cs="仿宋_GB2312" w:eastAsia="仿宋_GB2312"/>
                <w:sz w:val="21"/>
                <w:b/>
              </w:rPr>
              <w:t>CMA标识的检测报告复印件或第三方出具的检测报告复印件进行佐证。）</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共</w:t>
            </w:r>
            <w:r>
              <w:rPr>
                <w:rFonts w:ascii="仿宋_GB2312" w:hAnsi="仿宋_GB2312" w:cs="仿宋_GB2312" w:eastAsia="仿宋_GB2312"/>
                <w:sz w:val="21"/>
              </w:rPr>
              <w:t>3项</w:t>
            </w: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智能传输带</w:t>
            </w:r>
          </w:p>
        </w:tc>
        <w:tc>
          <w:tcPr>
            <w:tcW w:type="dxa" w:w="5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1.输送带规格（mm）：≥580*3*L。自动清洗机构，清洁更方便。速度：多档可调节。</w:t>
            </w:r>
          </w:p>
          <w:p>
            <w:pPr>
              <w:pStyle w:val="null3"/>
              <w:jc w:val="left"/>
            </w:pPr>
            <w:r>
              <w:rPr>
                <w:rFonts w:ascii="仿宋_GB2312" w:hAnsi="仿宋_GB2312" w:cs="仿宋_GB2312" w:eastAsia="仿宋_GB2312"/>
                <w:sz w:val="21"/>
              </w:rPr>
              <w:t>2.传送带达到食品级标准，无重金属污染，符合国家相关标准，</w:t>
            </w:r>
            <w:r>
              <w:rPr>
                <w:rFonts w:ascii="仿宋_GB2312" w:hAnsi="仿宋_GB2312" w:cs="仿宋_GB2312" w:eastAsia="仿宋_GB2312"/>
                <w:sz w:val="21"/>
                <w:b/>
              </w:rPr>
              <w:t>须提供食品接触产品安全认证证书。</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共</w:t>
            </w:r>
            <w:r>
              <w:rPr>
                <w:rFonts w:ascii="仿宋_GB2312" w:hAnsi="仿宋_GB2312" w:cs="仿宋_GB2312" w:eastAsia="仿宋_GB2312"/>
                <w:sz w:val="21"/>
              </w:rPr>
              <w:t>2项</w:t>
            </w: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连用野外炊事给养单元</w:t>
            </w:r>
          </w:p>
        </w:tc>
        <w:tc>
          <w:tcPr>
            <w:tcW w:type="dxa" w:w="5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1.供餐能力：≥120人。具备自动点火，任意调节火力大小等功能，可满足低温高原的工作环境。</w:t>
            </w:r>
          </w:p>
          <w:p>
            <w:pPr>
              <w:pStyle w:val="null3"/>
              <w:jc w:val="left"/>
            </w:pPr>
            <w:r>
              <w:rPr>
                <w:rFonts w:ascii="仿宋_GB2312" w:hAnsi="仿宋_GB2312" w:cs="仿宋_GB2312" w:eastAsia="仿宋_GB2312"/>
                <w:sz w:val="21"/>
              </w:rPr>
              <w:t>2.包括：45L铝制行军锅2套，直径34cm不锈钢菜盆20个，野战燃油炉灶（油罐、燃烧器、备件包、输油胶管、折叠式支架、打气筒）切菜板、菜刀及护套、帆布手套、调料袋、焖饭器、切菜（和面）布、锅罩袋、锅铲、炒勺。蒸盘、行军锅背架给养携行包背架、野战燃油炉背架、7.5kg软体油桶、20L送饭（背水）袋、应急灯。</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2套</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共</w:t>
            </w:r>
            <w:r>
              <w:rPr>
                <w:rFonts w:ascii="仿宋_GB2312" w:hAnsi="仿宋_GB2312" w:cs="仿宋_GB2312" w:eastAsia="仿宋_GB2312"/>
                <w:sz w:val="21"/>
              </w:rPr>
              <w:t>2项</w:t>
            </w: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安装施工、辅助材料</w:t>
            </w:r>
          </w:p>
        </w:tc>
        <w:tc>
          <w:tcPr>
            <w:tcW w:type="dxa" w:w="5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1.包含设备安装调试、水电施工改造（含土木施工）及辅助材料。</w:t>
            </w:r>
          </w:p>
          <w:p>
            <w:pPr>
              <w:pStyle w:val="null3"/>
              <w:jc w:val="both"/>
            </w:pPr>
            <w:r>
              <w:rPr>
                <w:rFonts w:ascii="仿宋_GB2312" w:hAnsi="仿宋_GB2312" w:cs="仿宋_GB2312" w:eastAsia="仿宋_GB2312"/>
                <w:sz w:val="21"/>
              </w:rPr>
              <w:t>2.辅助材料中新增的YJV电缆须满足本次采购所有设备（含安装、施工、配电箱等相关配套设施）200kw总功率的用电需求。YJV电缆须符合最新国标。</w:t>
            </w:r>
          </w:p>
          <w:p>
            <w:pPr>
              <w:pStyle w:val="null3"/>
              <w:jc w:val="both"/>
            </w:pPr>
            <w:r>
              <w:rPr>
                <w:rFonts w:ascii="仿宋_GB2312" w:hAnsi="仿宋_GB2312" w:cs="仿宋_GB2312" w:eastAsia="仿宋_GB2312"/>
                <w:sz w:val="21"/>
              </w:rPr>
              <w:t>3.新增电缆需达到新增设备投入使用要求，含总配电箱及新增每台设备所需的控制箱。电缆长度约120米。</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1项</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共</w:t>
            </w:r>
            <w:r>
              <w:rPr>
                <w:rFonts w:ascii="仿宋_GB2312" w:hAnsi="仿宋_GB2312" w:cs="仿宋_GB2312" w:eastAsia="仿宋_GB2312"/>
                <w:sz w:val="21"/>
              </w:rPr>
              <w:t>3项</w:t>
            </w:r>
          </w:p>
        </w:tc>
      </w:tr>
    </w:tbl>
    <w:p>
      <w:pPr>
        <w:pStyle w:val="null3"/>
        <w:jc w:val="both"/>
      </w:pPr>
      <w:r>
        <w:rPr>
          <w:rFonts w:ascii="仿宋_GB2312" w:hAnsi="仿宋_GB2312" w:cs="仿宋_GB2312" w:eastAsia="仿宋_GB2312"/>
          <w:sz w:val="21"/>
          <w:b/>
          <w:shd w:fill="D9D9D9" w:val="clear"/>
        </w:rPr>
        <w:t>注：饮食炊事机械项目中主要包括采购自动炒菜机、万能蒸烤箱、自动电蒸柜、多功能绞切肉机、智能切菜机</w:t>
      </w:r>
      <w:r>
        <w:rPr>
          <w:rFonts w:ascii="仿宋_GB2312" w:hAnsi="仿宋_GB2312" w:cs="仿宋_GB2312" w:eastAsia="仿宋_GB2312"/>
          <w:sz w:val="21"/>
          <w:b/>
          <w:shd w:fill="D9D9D9" w:val="clear"/>
        </w:rPr>
        <w:t>(带屏)、自动封膜机、连续式打饭线、智能传输带等军供厨房设施设备以及两套连用野外炊事给养单元，另有水电施工改造费（含土木施工）等共计约112万。</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rFonts w:ascii="仿宋_GB2312" w:hAnsi="仿宋_GB2312" w:cs="仿宋_GB2312" w:eastAsia="仿宋_GB2312"/>
              </w:rPr>
              <w:t>序号</w:t>
            </w:r>
          </w:p>
        </w:tc>
        <w:tc>
          <w:tcPr>
            <w:tcW w:type="dxa" w:w="2076"/>
          </w:tcPr>
          <w:p>
            <w:pPr>
              <w:pStyle w:val="null3"/>
              <w:jc w:val="both"/>
            </w:pPr>
            <w:r>
              <w:rPr>
                <w:rFonts w:ascii="仿宋_GB2312" w:hAnsi="仿宋_GB2312" w:cs="仿宋_GB2312" w:eastAsia="仿宋_GB2312"/>
              </w:rPr>
              <w:t>参数性质</w:t>
            </w:r>
          </w:p>
        </w:tc>
        <w:tc>
          <w:tcPr>
            <w:tcW w:type="dxa" w:w="2076"/>
          </w:tcPr>
          <w:p>
            <w:pPr>
              <w:pStyle w:val="null3"/>
              <w:jc w:val="both"/>
            </w:pPr>
            <w:r>
              <w:rPr>
                <w:rFonts w:ascii="仿宋_GB2312" w:hAnsi="仿宋_GB2312" w:cs="仿宋_GB2312" w:eastAsia="仿宋_GB2312"/>
              </w:rPr>
              <w:t>类型</w:t>
            </w:r>
          </w:p>
        </w:tc>
        <w:tc>
          <w:tcPr>
            <w:tcW w:type="dxa" w:w="2076"/>
          </w:tcPr>
          <w:p>
            <w:pPr>
              <w:pStyle w:val="null3"/>
              <w:jc w:val="both"/>
            </w:pPr>
            <w:r>
              <w:rPr>
                <w:rFonts w:ascii="仿宋_GB2312" w:hAnsi="仿宋_GB2312" w:cs="仿宋_GB2312" w:eastAsia="仿宋_GB2312"/>
              </w:rPr>
              <w:t>要求</w:t>
            </w:r>
          </w:p>
        </w:tc>
      </w:tr>
      <w:tr>
        <w:tc>
          <w:tcPr>
            <w:tcW w:type="dxa" w:w="2076"/>
          </w:tcPr>
          <w:p>
            <w:pPr>
              <w:pStyle w:val="null3"/>
              <w:jc w:val="both"/>
            </w:pPr>
            <w:r>
              <w:rPr>
                <w:rFonts w:ascii="仿宋_GB2312" w:hAnsi="仿宋_GB2312" w:cs="仿宋_GB2312" w:eastAsia="仿宋_GB2312"/>
              </w:rPr>
              <w:t>1</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交货地点</w:t>
            </w:r>
          </w:p>
        </w:tc>
        <w:tc>
          <w:tcPr>
            <w:tcW w:type="dxa" w:w="2076"/>
          </w:tcPr>
          <w:p>
            <w:pPr>
              <w:pStyle w:val="null3"/>
              <w:jc w:val="both"/>
            </w:pPr>
            <w:r>
              <w:rPr>
                <w:rFonts w:ascii="仿宋_GB2312" w:hAnsi="仿宋_GB2312" w:cs="仿宋_GB2312" w:eastAsia="仿宋_GB2312"/>
              </w:rPr>
              <w:t>福州市鼓楼区大根路73号。</w:t>
            </w:r>
          </w:p>
        </w:tc>
      </w:tr>
      <w:tr>
        <w:tc>
          <w:tcPr>
            <w:tcW w:type="dxa" w:w="2076"/>
          </w:tcPr>
          <w:p>
            <w:pPr>
              <w:pStyle w:val="null3"/>
              <w:jc w:val="both"/>
            </w:pPr>
            <w:r>
              <w:rPr>
                <w:rFonts w:ascii="仿宋_GB2312" w:hAnsi="仿宋_GB2312" w:cs="仿宋_GB2312" w:eastAsia="仿宋_GB2312"/>
              </w:rPr>
              <w:t>2</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交货时间</w:t>
            </w:r>
          </w:p>
        </w:tc>
        <w:tc>
          <w:tcPr>
            <w:tcW w:type="dxa" w:w="2076"/>
          </w:tcPr>
          <w:p>
            <w:pPr>
              <w:pStyle w:val="null3"/>
              <w:jc w:val="both"/>
            </w:pPr>
            <w:r>
              <w:rPr>
                <w:rFonts w:ascii="仿宋_GB2312" w:hAnsi="仿宋_GB2312" w:cs="仿宋_GB2312" w:eastAsia="仿宋_GB2312"/>
              </w:rPr>
              <w:t>合同签订后60天内交付。</w:t>
            </w:r>
          </w:p>
        </w:tc>
      </w:tr>
      <w:tr>
        <w:tc>
          <w:tcPr>
            <w:tcW w:type="dxa" w:w="2076"/>
          </w:tcPr>
          <w:p>
            <w:pPr>
              <w:pStyle w:val="null3"/>
              <w:jc w:val="both"/>
            </w:pPr>
            <w:r>
              <w:rPr>
                <w:rFonts w:ascii="仿宋_GB2312" w:hAnsi="仿宋_GB2312" w:cs="仿宋_GB2312" w:eastAsia="仿宋_GB2312"/>
              </w:rPr>
              <w:t>3</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交货条件</w:t>
            </w:r>
          </w:p>
        </w:tc>
        <w:tc>
          <w:tcPr>
            <w:tcW w:type="dxa" w:w="2076"/>
          </w:tcPr>
          <w:p>
            <w:pPr>
              <w:pStyle w:val="null3"/>
              <w:jc w:val="both"/>
            </w:pPr>
            <w:r>
              <w:rPr>
                <w:rFonts w:ascii="仿宋_GB2312" w:hAnsi="仿宋_GB2312" w:cs="仿宋_GB2312" w:eastAsia="仿宋_GB2312"/>
              </w:rPr>
              <w:t>验收合格并交付使用。</w:t>
            </w:r>
          </w:p>
        </w:tc>
      </w:tr>
      <w:tr>
        <w:tc>
          <w:tcPr>
            <w:tcW w:type="dxa" w:w="2076"/>
          </w:tcPr>
          <w:p>
            <w:pPr>
              <w:pStyle w:val="null3"/>
              <w:jc w:val="both"/>
            </w:pPr>
            <w:r>
              <w:rPr>
                <w:rFonts w:ascii="仿宋_GB2312" w:hAnsi="仿宋_GB2312" w:cs="仿宋_GB2312" w:eastAsia="仿宋_GB2312"/>
              </w:rPr>
              <w:t>4</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是否邀请投标人验收</w:t>
            </w:r>
          </w:p>
        </w:tc>
        <w:tc>
          <w:tcPr>
            <w:tcW w:type="dxa" w:w="2076"/>
          </w:tcPr>
          <w:p>
            <w:pPr>
              <w:pStyle w:val="null3"/>
              <w:jc w:val="both"/>
            </w:pPr>
            <w:r>
              <w:rPr>
                <w:rFonts w:ascii="仿宋_GB2312" w:hAnsi="仿宋_GB2312" w:cs="仿宋_GB2312" w:eastAsia="仿宋_GB2312"/>
              </w:rPr>
              <w:t>不邀请投标人验收</w:t>
            </w:r>
          </w:p>
        </w:tc>
      </w:tr>
      <w:tr>
        <w:tc>
          <w:tcPr>
            <w:tcW w:type="dxa" w:w="2076"/>
          </w:tcPr>
          <w:p>
            <w:pPr>
              <w:pStyle w:val="null3"/>
              <w:jc w:val="both"/>
            </w:pPr>
            <w:r>
              <w:rPr>
                <w:rFonts w:ascii="仿宋_GB2312" w:hAnsi="仿宋_GB2312" w:cs="仿宋_GB2312" w:eastAsia="仿宋_GB2312"/>
              </w:rPr>
              <w:t>5</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履约验收方式</w:t>
            </w:r>
          </w:p>
        </w:tc>
        <w:tc>
          <w:tcPr>
            <w:tcW w:type="dxa" w:w="2076"/>
          </w:tcPr>
          <w:p>
            <w:pPr>
              <w:pStyle w:val="null3"/>
              <w:jc w:val="both"/>
            </w:pPr>
            <w:r>
              <w:rPr>
                <w:rFonts w:ascii="仿宋_GB2312" w:hAnsi="仿宋_GB2312" w:cs="仿宋_GB2312" w:eastAsia="仿宋_GB2312"/>
              </w:rPr>
              <w:t>1、期次1，说明：按照招标文件、采购合同、相关国家标准及行业标准验收。</w:t>
            </w:r>
          </w:p>
        </w:tc>
      </w:tr>
      <w:tr>
        <w:tc>
          <w:tcPr>
            <w:tcW w:type="dxa" w:w="2076"/>
          </w:tcPr>
          <w:p>
            <w:pPr>
              <w:pStyle w:val="null3"/>
              <w:jc w:val="both"/>
            </w:pPr>
            <w:r>
              <w:rPr>
                <w:rFonts w:ascii="仿宋_GB2312" w:hAnsi="仿宋_GB2312" w:cs="仿宋_GB2312" w:eastAsia="仿宋_GB2312"/>
              </w:rPr>
              <w:t>6</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合同支付方式</w:t>
            </w:r>
          </w:p>
        </w:tc>
        <w:tc>
          <w:tcPr>
            <w:tcW w:type="dxa" w:w="2076"/>
          </w:tcPr>
          <w:p>
            <w:pPr>
              <w:pStyle w:val="null3"/>
              <w:jc w:val="both"/>
            </w:pPr>
            <w:r>
              <w:rPr>
                <w:rFonts w:ascii="仿宋_GB2312" w:hAnsi="仿宋_GB2312" w:cs="仿宋_GB2312" w:eastAsia="仿宋_GB2312"/>
              </w:rPr>
              <w:t>1、合同签订并供货后，达到付款条件起15日内，支付合同总金额的50.00%</w:t>
            </w:r>
          </w:p>
          <w:p>
            <w:pPr>
              <w:pStyle w:val="null3"/>
              <w:jc w:val="both"/>
            </w:pPr>
            <w:r>
              <w:rPr>
                <w:rFonts w:ascii="仿宋_GB2312" w:hAnsi="仿宋_GB2312" w:cs="仿宋_GB2312" w:eastAsia="仿宋_GB2312"/>
              </w:rPr>
              <w:t>2、整体验收合格之日后，达到付款条件起15日内，支付合同总金额的40.00%</w:t>
            </w:r>
          </w:p>
          <w:p>
            <w:pPr>
              <w:pStyle w:val="null3"/>
              <w:jc w:val="both"/>
            </w:pPr>
            <w:r>
              <w:rPr>
                <w:rFonts w:ascii="仿宋_GB2312" w:hAnsi="仿宋_GB2312" w:cs="仿宋_GB2312" w:eastAsia="仿宋_GB2312"/>
              </w:rPr>
              <w:t>3、在设备投入正常使用30日后，结算时，收款、出具发票和合同签订的名称均必须与中标单位名称一致，且中标人需提供合同、出具的增值税发票、中标通知书等有效文件，达到付款条件起15日内，支付合同总金额的10.00%</w:t>
            </w:r>
          </w:p>
        </w:tc>
      </w:tr>
      <w:tr>
        <w:tc>
          <w:tcPr>
            <w:tcW w:type="dxa" w:w="2076"/>
          </w:tcPr>
          <w:p>
            <w:pPr>
              <w:pStyle w:val="null3"/>
              <w:jc w:val="both"/>
            </w:pPr>
            <w:r>
              <w:rPr>
                <w:rFonts w:ascii="仿宋_GB2312" w:hAnsi="仿宋_GB2312" w:cs="仿宋_GB2312" w:eastAsia="仿宋_GB2312"/>
              </w:rPr>
              <w:t>7</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履约保证金</w:t>
            </w:r>
          </w:p>
        </w:tc>
        <w:tc>
          <w:tcPr>
            <w:tcW w:type="dxa" w:w="2076"/>
          </w:tcPr>
          <w:p>
            <w:pPr>
              <w:pStyle w:val="null3"/>
              <w:jc w:val="both"/>
            </w:pPr>
            <w:r>
              <w:rPr>
                <w:rFonts w:ascii="仿宋_GB2312" w:hAnsi="仿宋_GB2312" w:cs="仿宋_GB2312" w:eastAsia="仿宋_GB2312"/>
              </w:rPr>
              <w:t>缴纳</w:t>
            </w:r>
            <w:r>
              <w:rPr>
                <w:rFonts w:ascii="仿宋_GB2312" w:hAnsi="仿宋_GB2312" w:cs="仿宋_GB2312" w:eastAsia="仿宋_GB2312"/>
              </w:rPr>
              <w:t>, 本采购包履约保证金为合同金额的5.0%</w:t>
            </w:r>
          </w:p>
          <w:p>
            <w:pPr>
              <w:pStyle w:val="null3"/>
              <w:jc w:val="both"/>
            </w:pPr>
            <w:r>
              <w:rPr>
                <w:rFonts w:ascii="仿宋_GB2312" w:hAnsi="仿宋_GB2312" w:cs="仿宋_GB2312" w:eastAsia="仿宋_GB2312"/>
              </w:rPr>
              <w:t>缴纳方式：银行转账，支票/汇票/本票，保函/保险</w:t>
            </w:r>
          </w:p>
          <w:p>
            <w:pPr>
              <w:pStyle w:val="null3"/>
              <w:jc w:val="both"/>
            </w:pPr>
            <w:r>
              <w:rPr>
                <w:rFonts w:ascii="仿宋_GB2312" w:hAnsi="仿宋_GB2312" w:cs="仿宋_GB2312" w:eastAsia="仿宋_GB2312"/>
              </w:rPr>
              <w:t>说明：中标人在合同签订生效之日起15日内需向采购人交纳合同金额5%的履约保证金作为中标人违约责任的赔偿，履约保证金在项目最终验收合格后的10个工作日，且中标人无任何违约事项的情况下无息退还。验收合格以采购人签发或委托第三方验收机构签发的《验收合格通知书》的日期为准。</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b/>
        </w:rPr>
        <w:t>8、货物包装方式</w:t>
      </w:r>
    </w:p>
    <w:p>
      <w:pPr>
        <w:pStyle w:val="null3"/>
        <w:ind w:firstLine="420"/>
        <w:jc w:val="both"/>
      </w:pPr>
      <w:r>
        <w:rPr>
          <w:rFonts w:ascii="仿宋_GB2312" w:hAnsi="仿宋_GB2312" w:cs="仿宋_GB2312" w:eastAsia="仿宋_GB2312"/>
          <w:sz w:val="21"/>
        </w:rPr>
        <w:t>8.1包装：货物交货时应按国家有关标准要求进行包装。</w:t>
      </w:r>
    </w:p>
    <w:p>
      <w:pPr>
        <w:pStyle w:val="null3"/>
        <w:ind w:firstLine="420"/>
        <w:jc w:val="both"/>
      </w:pPr>
      <w:r>
        <w:rPr>
          <w:rFonts w:ascii="仿宋_GB2312" w:hAnsi="仿宋_GB2312" w:cs="仿宋_GB2312" w:eastAsia="仿宋_GB2312"/>
          <w:sz w:val="21"/>
        </w:rPr>
        <w:t>8.2方式：包装必须与运输方式相适应，包装方式的确定及包装费用均由中标人负责；由于不适当的包装而造成货物在运输过程中有任何损坏由中标人负责。</w:t>
      </w:r>
    </w:p>
    <w:p>
      <w:pPr>
        <w:pStyle w:val="null3"/>
        <w:ind w:firstLine="420"/>
        <w:jc w:val="both"/>
      </w:pPr>
      <w:r>
        <w:rPr>
          <w:rFonts w:ascii="仿宋_GB2312" w:hAnsi="仿宋_GB2312" w:cs="仿宋_GB2312" w:eastAsia="仿宋_GB2312"/>
          <w:sz w:val="21"/>
        </w:rPr>
        <w:t>8.3包装应足以承受整个过程中的运输、转运、装卸、储存等，充分考虑到运输途中的各种情况(如暴露于恶劣气候等)和项目所在地的气候特点，以及露天存放的需要。</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b/>
        </w:rPr>
        <w:t>9、安装、调试</w:t>
      </w:r>
      <w:r>
        <w:rPr>
          <w:rFonts w:ascii="仿宋_GB2312" w:hAnsi="仿宋_GB2312" w:cs="仿宋_GB2312" w:eastAsia="仿宋_GB2312"/>
          <w:sz w:val="21"/>
          <w:b/>
        </w:rPr>
        <w:t>及施工要求</w:t>
      </w:r>
    </w:p>
    <w:p>
      <w:pPr>
        <w:pStyle w:val="null3"/>
        <w:ind w:firstLine="420"/>
        <w:jc w:val="both"/>
      </w:pPr>
      <w:r>
        <w:rPr>
          <w:rFonts w:ascii="仿宋_GB2312" w:hAnsi="仿宋_GB2312" w:cs="仿宋_GB2312" w:eastAsia="仿宋_GB2312"/>
          <w:sz w:val="21"/>
        </w:rPr>
        <w:t>9.1中标人应在签订合同时，向采购人提供安装、调试的进度计划表。</w:t>
      </w:r>
    </w:p>
    <w:p>
      <w:pPr>
        <w:pStyle w:val="null3"/>
        <w:ind w:firstLine="420"/>
        <w:jc w:val="both"/>
      </w:pPr>
      <w:r>
        <w:rPr>
          <w:rFonts w:ascii="仿宋_GB2312" w:hAnsi="仿宋_GB2312" w:cs="仿宋_GB2312" w:eastAsia="仿宋_GB2312"/>
          <w:sz w:val="21"/>
        </w:rPr>
        <w:t>9.2合同签订后，由中标人负责将合同规定的设备数量送到安装地点，设备通过采购人确认后，由中标人指派的技术人员到现场进行安装。采购人将安排专人配合，并提供安装所需的基本条件，保证各项安装工作顺利进行，安装过程中所需的供电、给排水等相关辅助材料（如管路、电缆等）由中标人提供。</w:t>
      </w:r>
      <w:r>
        <w:rPr>
          <w:rFonts w:ascii="仿宋_GB2312" w:hAnsi="仿宋_GB2312" w:cs="仿宋_GB2312" w:eastAsia="仿宋_GB2312"/>
          <w:sz w:val="21"/>
        </w:rPr>
        <w:t>中标人须按照</w:t>
      </w:r>
      <w:r>
        <w:rPr>
          <w:rFonts w:ascii="仿宋_GB2312" w:hAnsi="仿宋_GB2312" w:cs="仿宋_GB2312" w:eastAsia="仿宋_GB2312"/>
          <w:sz w:val="21"/>
        </w:rPr>
        <w:t>国家标准及行业标准</w:t>
      </w:r>
      <w:r>
        <w:rPr>
          <w:rFonts w:ascii="仿宋_GB2312" w:hAnsi="仿宋_GB2312" w:cs="仿宋_GB2312" w:eastAsia="仿宋_GB2312"/>
          <w:sz w:val="21"/>
        </w:rPr>
        <w:t>等相关标准进行安装施工改造。</w:t>
      </w:r>
    </w:p>
    <w:p>
      <w:pPr>
        <w:pStyle w:val="null3"/>
        <w:ind w:firstLine="420"/>
        <w:jc w:val="both"/>
      </w:pPr>
      <w:r>
        <w:rPr>
          <w:rFonts w:ascii="仿宋_GB2312" w:hAnsi="仿宋_GB2312" w:cs="仿宋_GB2312" w:eastAsia="仿宋_GB2312"/>
          <w:sz w:val="21"/>
        </w:rPr>
        <w:t>9.3中标人负责组织专业技术人员进行设备调试，</w:t>
      </w:r>
      <w:r>
        <w:rPr>
          <w:rFonts w:ascii="仿宋_GB2312" w:hAnsi="仿宋_GB2312" w:cs="仿宋_GB2312" w:eastAsia="仿宋_GB2312"/>
          <w:sz w:val="21"/>
        </w:rPr>
        <w:t>根据采购人的要求位置和厨房实际情况拆装新旧设备，</w:t>
      </w:r>
      <w:r>
        <w:rPr>
          <w:rFonts w:ascii="仿宋_GB2312" w:hAnsi="仿宋_GB2312" w:cs="仿宋_GB2312" w:eastAsia="仿宋_GB2312"/>
          <w:sz w:val="21"/>
        </w:rPr>
        <w:t>并向采购人安排的工作人员介绍设备功能。</w:t>
      </w:r>
    </w:p>
    <w:p>
      <w:pPr>
        <w:pStyle w:val="null3"/>
        <w:ind w:firstLine="420"/>
        <w:jc w:val="both"/>
      </w:pPr>
      <w:r>
        <w:rPr>
          <w:rFonts w:ascii="仿宋_GB2312" w:hAnsi="仿宋_GB2312" w:cs="仿宋_GB2312" w:eastAsia="仿宋_GB2312"/>
          <w:sz w:val="21"/>
        </w:rPr>
        <w:t>9.4</w:t>
      </w:r>
      <w:r>
        <w:rPr>
          <w:rFonts w:ascii="仿宋_GB2312" w:hAnsi="仿宋_GB2312" w:cs="仿宋_GB2312" w:eastAsia="仿宋_GB2312"/>
          <w:sz w:val="21"/>
          <w:b/>
        </w:rPr>
        <w:t>投标人须承诺：施工、安装调试完毕后，与原有设备相匹配且能满足设备整体运行需要。投标文件中须提供承诺函（格式自拟），否则按无效投标处理。</w:t>
      </w:r>
    </w:p>
    <w:p>
      <w:pPr>
        <w:pStyle w:val="null3"/>
        <w:ind w:firstLine="420"/>
        <w:jc w:val="both"/>
      </w:pPr>
      <w:r>
        <w:rPr>
          <w:rFonts w:ascii="仿宋_GB2312" w:hAnsi="仿宋_GB2312" w:cs="仿宋_GB2312" w:eastAsia="仿宋_GB2312"/>
          <w:sz w:val="21"/>
        </w:rPr>
        <w:t>9.5施工要求</w:t>
      </w:r>
    </w:p>
    <w:p>
      <w:pPr>
        <w:pStyle w:val="null3"/>
        <w:ind w:firstLine="420"/>
        <w:jc w:val="left"/>
      </w:pPr>
      <w:r>
        <w:rPr>
          <w:rFonts w:ascii="仿宋_GB2312" w:hAnsi="仿宋_GB2312" w:cs="仿宋_GB2312" w:eastAsia="仿宋_GB2312"/>
          <w:sz w:val="21"/>
        </w:rPr>
        <w:t>9.5.1</w:t>
      </w:r>
      <w:r>
        <w:rPr>
          <w:rFonts w:ascii="仿宋_GB2312" w:hAnsi="仿宋_GB2312" w:cs="仿宋_GB2312" w:eastAsia="仿宋_GB2312"/>
          <w:sz w:val="21"/>
        </w:rPr>
        <w:t>.施工在不影响</w:t>
      </w:r>
      <w:r>
        <w:rPr>
          <w:rFonts w:ascii="仿宋_GB2312" w:hAnsi="仿宋_GB2312" w:cs="仿宋_GB2312" w:eastAsia="仿宋_GB2312"/>
          <w:sz w:val="21"/>
        </w:rPr>
        <w:t>采购人</w:t>
      </w:r>
      <w:r>
        <w:rPr>
          <w:rFonts w:ascii="仿宋_GB2312" w:hAnsi="仿宋_GB2312" w:cs="仿宋_GB2312" w:eastAsia="仿宋_GB2312"/>
          <w:sz w:val="21"/>
        </w:rPr>
        <w:t>原有的水电、排水系统的情况下，合理布局新增设备的水电及排水系统。</w:t>
      </w:r>
    </w:p>
    <w:p>
      <w:pPr>
        <w:pStyle w:val="null3"/>
        <w:ind w:firstLine="420"/>
        <w:jc w:val="left"/>
      </w:pPr>
      <w:r>
        <w:rPr>
          <w:rFonts w:ascii="仿宋_GB2312" w:hAnsi="仿宋_GB2312" w:cs="仿宋_GB2312" w:eastAsia="仿宋_GB2312"/>
          <w:sz w:val="21"/>
        </w:rPr>
        <w:t>9.5.2</w:t>
      </w:r>
      <w:r>
        <w:rPr>
          <w:rFonts w:ascii="仿宋_GB2312" w:hAnsi="仿宋_GB2312" w:cs="仿宋_GB2312" w:eastAsia="仿宋_GB2312"/>
          <w:sz w:val="21"/>
        </w:rPr>
        <w:t>.水电安装施工应符合国家有关安全标准和规定，保证工程的安全性和可靠性。施工过程中应遵守国家相关的施工安全操作规程，特别是对高危作业进行安全措施把关，如高空作业、电气操作等。水电设备安装的固定和支架要符合国家规范要求，以保证其稳定性和安全性。</w:t>
      </w:r>
    </w:p>
    <w:p>
      <w:pPr>
        <w:pStyle w:val="null3"/>
        <w:ind w:firstLine="420"/>
        <w:jc w:val="left"/>
      </w:pPr>
      <w:r>
        <w:rPr>
          <w:rFonts w:ascii="仿宋_GB2312" w:hAnsi="仿宋_GB2312" w:cs="仿宋_GB2312" w:eastAsia="仿宋_GB2312"/>
          <w:sz w:val="21"/>
        </w:rPr>
        <w:t>9.5.3</w:t>
      </w:r>
      <w:r>
        <w:rPr>
          <w:rFonts w:ascii="仿宋_GB2312" w:hAnsi="仿宋_GB2312" w:cs="仿宋_GB2312" w:eastAsia="仿宋_GB2312"/>
          <w:sz w:val="21"/>
        </w:rPr>
        <w:t>.水电安装施工应选择符合国家标准的优质材料，确保材料的质量和性能达到要求。</w:t>
      </w:r>
    </w:p>
    <w:p>
      <w:pPr>
        <w:pStyle w:val="null3"/>
        <w:ind w:firstLine="420"/>
        <w:jc w:val="left"/>
      </w:pPr>
      <w:r>
        <w:rPr>
          <w:rFonts w:ascii="仿宋_GB2312" w:hAnsi="仿宋_GB2312" w:cs="仿宋_GB2312" w:eastAsia="仿宋_GB2312"/>
          <w:sz w:val="21"/>
        </w:rPr>
        <w:t>9.5.4</w:t>
      </w:r>
      <w:r>
        <w:rPr>
          <w:rFonts w:ascii="仿宋_GB2312" w:hAnsi="仿宋_GB2312" w:cs="仿宋_GB2312" w:eastAsia="仿宋_GB2312"/>
          <w:sz w:val="21"/>
        </w:rPr>
        <w:t>.电线电缆的铺设要求应符合国家规范要求，并保持足够的间距，杜绝交叉铺设，避免相互干扰。</w:t>
      </w:r>
    </w:p>
    <w:p>
      <w:pPr>
        <w:pStyle w:val="null3"/>
        <w:ind w:firstLine="420"/>
        <w:jc w:val="left"/>
      </w:pPr>
      <w:r>
        <w:rPr>
          <w:rFonts w:ascii="仿宋_GB2312" w:hAnsi="仿宋_GB2312" w:cs="仿宋_GB2312" w:eastAsia="仿宋_GB2312"/>
          <w:sz w:val="21"/>
        </w:rPr>
        <w:t>9.5.5</w:t>
      </w:r>
      <w:r>
        <w:rPr>
          <w:rFonts w:ascii="仿宋_GB2312" w:hAnsi="仿宋_GB2312" w:cs="仿宋_GB2312" w:eastAsia="仿宋_GB2312"/>
          <w:sz w:val="21"/>
        </w:rPr>
        <w:t>.电线电缆的开槽和穿墙操作应符合国家安全规范等要求，防止损坏墙体结构。</w:t>
      </w:r>
    </w:p>
    <w:p>
      <w:pPr>
        <w:pStyle w:val="null3"/>
        <w:ind w:firstLine="420"/>
        <w:jc w:val="both"/>
      </w:pPr>
      <w:r>
        <w:rPr>
          <w:rFonts w:ascii="仿宋_GB2312" w:hAnsi="仿宋_GB2312" w:cs="仿宋_GB2312" w:eastAsia="仿宋_GB2312"/>
          <w:sz w:val="21"/>
        </w:rPr>
        <w:t>9.5.6</w:t>
      </w:r>
      <w:r>
        <w:rPr>
          <w:rFonts w:ascii="仿宋_GB2312" w:hAnsi="仿宋_GB2312" w:cs="仿宋_GB2312" w:eastAsia="仿宋_GB2312"/>
          <w:sz w:val="21"/>
        </w:rPr>
        <w:t>.水</w:t>
      </w:r>
      <w:r>
        <w:rPr>
          <w:rFonts w:ascii="仿宋_GB2312" w:hAnsi="仿宋_GB2312" w:cs="仿宋_GB2312" w:eastAsia="仿宋_GB2312"/>
        </w:rPr>
        <w:t>管的敷设应符合国家规范要求，水管应保持一定的倾斜角度，以便排水顺畅。</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b/>
        </w:rPr>
        <w:t>10、检验标准和方法</w:t>
      </w:r>
    </w:p>
    <w:p>
      <w:pPr>
        <w:pStyle w:val="null3"/>
        <w:ind w:firstLine="420"/>
        <w:jc w:val="both"/>
      </w:pPr>
      <w:r>
        <w:rPr>
          <w:rFonts w:ascii="仿宋_GB2312" w:hAnsi="仿宋_GB2312" w:cs="仿宋_GB2312" w:eastAsia="仿宋_GB2312"/>
          <w:sz w:val="21"/>
        </w:rPr>
        <w:t>10.1验收标准：货物按生产厂家的产品验收标准、合同中的相关条款进行验收。所有设备必须是原装包装。若发现原包装破损或保修条款不满足要求，采购人有权不予接收，并要求中标人无条件重新更换，并按合同条款的有关规定执行。</w:t>
      </w:r>
    </w:p>
    <w:p>
      <w:pPr>
        <w:pStyle w:val="null3"/>
        <w:ind w:firstLine="420"/>
        <w:jc w:val="both"/>
      </w:pPr>
      <w:r>
        <w:rPr>
          <w:rFonts w:ascii="仿宋_GB2312" w:hAnsi="仿宋_GB2312" w:cs="仿宋_GB2312" w:eastAsia="仿宋_GB2312"/>
          <w:sz w:val="21"/>
        </w:rPr>
        <w:t>10.2出厂检验：中标人负责所提供货物的出厂检验，应按货物技术标准规定的检验项目和检验方法进行全面检验，保证货物原厂地和技术指标的真实性、完整性，并负责将货物送达采购人指定的供货地点，并向采购人提供货物制造厂商的出厂检验报告和质量合格证书以及原装品牌设备的证明资料或文件。</w:t>
      </w:r>
    </w:p>
    <w:p>
      <w:pPr>
        <w:pStyle w:val="null3"/>
        <w:ind w:firstLine="420"/>
        <w:jc w:val="both"/>
      </w:pPr>
      <w:r>
        <w:rPr>
          <w:rFonts w:ascii="仿宋_GB2312" w:hAnsi="仿宋_GB2312" w:cs="仿宋_GB2312" w:eastAsia="仿宋_GB2312"/>
          <w:sz w:val="21"/>
        </w:rPr>
        <w:t>10.3到货验收：货物送至采购人安装现场后，中标人和采购人一同拆箱，对其全部货物、零件、配件的型号、规格、数量、外型、外观、包装进行到货验收。</w:t>
      </w:r>
    </w:p>
    <w:p>
      <w:pPr>
        <w:pStyle w:val="null3"/>
        <w:ind w:firstLine="420"/>
        <w:jc w:val="both"/>
      </w:pPr>
      <w:r>
        <w:rPr>
          <w:rFonts w:ascii="仿宋_GB2312" w:hAnsi="仿宋_GB2312" w:cs="仿宋_GB2312" w:eastAsia="仿宋_GB2312"/>
          <w:sz w:val="21"/>
        </w:rPr>
        <w:t>10.4试运行：完成设备安装调试后，中标人应对货物的整体性能和功能进行自检，自检结果必须符合招标文件要求及合同中的相关条款，自检合格后，中标人应向采购人提交自检记录和试运行记录，并提出验收申请。经采购人同意后，采购人和中标人共同进行设备的验收。</w:t>
      </w:r>
    </w:p>
    <w:p>
      <w:pPr>
        <w:pStyle w:val="null3"/>
        <w:ind w:firstLine="420"/>
        <w:jc w:val="both"/>
      </w:pPr>
      <w:r>
        <w:rPr>
          <w:rFonts w:ascii="仿宋_GB2312" w:hAnsi="仿宋_GB2312" w:cs="仿宋_GB2312" w:eastAsia="仿宋_GB2312"/>
          <w:sz w:val="21"/>
        </w:rPr>
        <w:t>10.5验收：采购人</w:t>
      </w:r>
      <w:r>
        <w:rPr>
          <w:rFonts w:ascii="仿宋_GB2312" w:hAnsi="仿宋_GB2312" w:cs="仿宋_GB2312" w:eastAsia="仿宋_GB2312"/>
          <w:sz w:val="21"/>
        </w:rPr>
        <w:t>（</w:t>
      </w:r>
      <w:r>
        <w:rPr>
          <w:rFonts w:ascii="仿宋_GB2312" w:hAnsi="仿宋_GB2312" w:cs="仿宋_GB2312" w:eastAsia="仿宋_GB2312"/>
          <w:sz w:val="21"/>
        </w:rPr>
        <w:t>或采购人委托第三方验收机构</w:t>
      </w:r>
      <w:r>
        <w:rPr>
          <w:rFonts w:ascii="仿宋_GB2312" w:hAnsi="仿宋_GB2312" w:cs="仿宋_GB2312" w:eastAsia="仿宋_GB2312"/>
          <w:sz w:val="21"/>
        </w:rPr>
        <w:t>）</w:t>
      </w:r>
      <w:r>
        <w:rPr>
          <w:rFonts w:ascii="仿宋_GB2312" w:hAnsi="仿宋_GB2312" w:cs="仿宋_GB2312" w:eastAsia="仿宋_GB2312"/>
          <w:sz w:val="21"/>
        </w:rPr>
        <w:t>将按照政府采购合同规定的技术、服务、安全标准组织对</w:t>
      </w:r>
      <w:r>
        <w:rPr>
          <w:rFonts w:ascii="仿宋_GB2312" w:hAnsi="仿宋_GB2312" w:cs="仿宋_GB2312" w:eastAsia="仿宋_GB2312"/>
          <w:sz w:val="21"/>
        </w:rPr>
        <w:t>中标人</w:t>
      </w:r>
      <w:r>
        <w:rPr>
          <w:rFonts w:ascii="仿宋_GB2312" w:hAnsi="仿宋_GB2312" w:cs="仿宋_GB2312" w:eastAsia="仿宋_GB2312"/>
          <w:sz w:val="21"/>
        </w:rPr>
        <w:t>履约情况进行验收。本项目验收包括初验收和正式验收，每次验收后需出具</w:t>
      </w:r>
      <w:r>
        <w:rPr>
          <w:rFonts w:ascii="仿宋_GB2312" w:hAnsi="仿宋_GB2312" w:cs="仿宋_GB2312" w:eastAsia="仿宋_GB2312"/>
          <w:sz w:val="21"/>
        </w:rPr>
        <w:t>验收合格通知书</w:t>
      </w:r>
      <w:r>
        <w:rPr>
          <w:rFonts w:ascii="仿宋_GB2312" w:hAnsi="仿宋_GB2312" w:cs="仿宋_GB2312" w:eastAsia="仿宋_GB2312"/>
          <w:sz w:val="21"/>
        </w:rPr>
        <w:t>。验收书应当包括每一项技术、服务、安全标准的履约情况。所有验收结果经双方确认后，双方代表必须按规定的验收交接单上的项目对照本合同填好验收结果并签名盖章。所有验收过程中，若发现货物质量有问题，投标人应无条件免费更换，并无条件重新检测并调试直至验收合格交付采购人使用。在此期间，投标人在采购人现场进行安装、调试、试运行直至验收所发生的一切费用由投标人承担且已含在报价总价中。</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b/>
        </w:rPr>
        <w:t>11、技术培训及技术资料要求</w:t>
      </w:r>
    </w:p>
    <w:p>
      <w:pPr>
        <w:pStyle w:val="null3"/>
        <w:ind w:firstLine="420"/>
        <w:jc w:val="both"/>
      </w:pPr>
      <w:r>
        <w:rPr>
          <w:rFonts w:ascii="仿宋_GB2312" w:hAnsi="仿宋_GB2312" w:cs="仿宋_GB2312" w:eastAsia="仿宋_GB2312"/>
          <w:sz w:val="21"/>
        </w:rPr>
        <w:t>11.1技术培训：中标人应结合货物安装、调试等阶段，同步地对采购人的技术人员就有关系统安装、维护、操作使用等方面进行现场技术培训，使采购人受训人员能熟练掌握设备的安装调试和维护方法以及操作流程。</w:t>
      </w:r>
    </w:p>
    <w:p>
      <w:pPr>
        <w:pStyle w:val="null3"/>
        <w:ind w:firstLine="420"/>
        <w:jc w:val="both"/>
      </w:pPr>
      <w:r>
        <w:rPr>
          <w:rFonts w:ascii="仿宋_GB2312" w:hAnsi="仿宋_GB2312" w:cs="仿宋_GB2312" w:eastAsia="仿宋_GB2312"/>
          <w:sz w:val="21"/>
        </w:rPr>
        <w:t>11.2技术资料：中标人应向采购人提供不少于以下列明的中文(或英文)技术资料1套，在设备交货时随机提供；并提供货物原装品牌的证明文件或资料；相关检测报告等；所有需提供技术资料的费用应包括在投标报价内。应提供的技术资料（若有）：</w:t>
      </w:r>
    </w:p>
    <w:p>
      <w:pPr>
        <w:pStyle w:val="null3"/>
        <w:ind w:firstLine="420"/>
        <w:jc w:val="both"/>
      </w:pPr>
      <w:r>
        <w:rPr>
          <w:rFonts w:ascii="仿宋_GB2312" w:hAnsi="仿宋_GB2312" w:cs="仿宋_GB2312" w:eastAsia="仿宋_GB2312"/>
          <w:sz w:val="21"/>
        </w:rPr>
        <w:t>1)出厂明细表(装箱单)、零部件目录；</w:t>
      </w:r>
    </w:p>
    <w:p>
      <w:pPr>
        <w:pStyle w:val="null3"/>
        <w:ind w:firstLine="420"/>
        <w:jc w:val="both"/>
      </w:pPr>
      <w:r>
        <w:rPr>
          <w:rFonts w:ascii="仿宋_GB2312" w:hAnsi="仿宋_GB2312" w:cs="仿宋_GB2312" w:eastAsia="仿宋_GB2312"/>
          <w:sz w:val="21"/>
        </w:rPr>
        <w:t>2)出厂检验报告、合格证书及生产厂家供货确认函；</w:t>
      </w:r>
    </w:p>
    <w:p>
      <w:pPr>
        <w:pStyle w:val="null3"/>
        <w:ind w:firstLine="420"/>
        <w:jc w:val="both"/>
      </w:pPr>
      <w:r>
        <w:rPr>
          <w:rFonts w:ascii="仿宋_GB2312" w:hAnsi="仿宋_GB2312" w:cs="仿宋_GB2312" w:eastAsia="仿宋_GB2312"/>
          <w:sz w:val="21"/>
        </w:rPr>
        <w:t>3)安装手册；操作手册(中文)；维修手册；</w:t>
      </w:r>
    </w:p>
    <w:p>
      <w:pPr>
        <w:pStyle w:val="null3"/>
        <w:ind w:firstLine="420"/>
        <w:jc w:val="both"/>
      </w:pPr>
      <w:r>
        <w:rPr>
          <w:rFonts w:ascii="仿宋_GB2312" w:hAnsi="仿宋_GB2312" w:cs="仿宋_GB2312" w:eastAsia="仿宋_GB2312"/>
          <w:sz w:val="21"/>
        </w:rPr>
        <w:t>4)产品技术说明书；</w:t>
      </w:r>
    </w:p>
    <w:p>
      <w:pPr>
        <w:pStyle w:val="null3"/>
        <w:ind w:firstLine="420"/>
        <w:jc w:val="both"/>
      </w:pPr>
      <w:r>
        <w:rPr>
          <w:rFonts w:ascii="仿宋_GB2312" w:hAnsi="仿宋_GB2312" w:cs="仿宋_GB2312" w:eastAsia="仿宋_GB2312"/>
          <w:sz w:val="21"/>
        </w:rPr>
        <w:t>5)产品技术标准(含验收标准)和测试方法；</w:t>
      </w:r>
    </w:p>
    <w:p>
      <w:pPr>
        <w:pStyle w:val="null3"/>
        <w:ind w:firstLine="420"/>
        <w:jc w:val="both"/>
      </w:pPr>
      <w:r>
        <w:rPr>
          <w:rFonts w:ascii="仿宋_GB2312" w:hAnsi="仿宋_GB2312" w:cs="仿宋_GB2312" w:eastAsia="仿宋_GB2312"/>
          <w:sz w:val="21"/>
        </w:rPr>
        <w:t>6)设备安装、调试、维修线路原理图等安装调试资料；</w:t>
      </w:r>
    </w:p>
    <w:p>
      <w:pPr>
        <w:pStyle w:val="null3"/>
        <w:ind w:firstLine="420"/>
        <w:jc w:val="both"/>
      </w:pPr>
      <w:r>
        <w:rPr>
          <w:rFonts w:ascii="仿宋_GB2312" w:hAnsi="仿宋_GB2312" w:cs="仿宋_GB2312" w:eastAsia="仿宋_GB2312"/>
          <w:sz w:val="21"/>
        </w:rPr>
        <w:t>7)提供原产地制造商的产品证明与商检的相关文件；</w:t>
      </w:r>
    </w:p>
    <w:p>
      <w:pPr>
        <w:pStyle w:val="null3"/>
        <w:ind w:firstLine="420"/>
        <w:jc w:val="both"/>
      </w:pPr>
      <w:r>
        <w:rPr>
          <w:rFonts w:ascii="仿宋_GB2312" w:hAnsi="仿宋_GB2312" w:cs="仿宋_GB2312" w:eastAsia="仿宋_GB2312"/>
          <w:sz w:val="21"/>
        </w:rPr>
        <w:t>8)备品备件、易耗件清单；</w:t>
      </w:r>
    </w:p>
    <w:p>
      <w:pPr>
        <w:pStyle w:val="null3"/>
        <w:ind w:firstLine="420"/>
        <w:jc w:val="both"/>
      </w:pPr>
      <w:r>
        <w:rPr>
          <w:rFonts w:ascii="仿宋_GB2312" w:hAnsi="仿宋_GB2312" w:cs="仿宋_GB2312" w:eastAsia="仿宋_GB2312"/>
          <w:sz w:val="21"/>
        </w:rPr>
        <w:t>9）如属于计量器具或国家强检目录范围的，须提供经过计量或相关质检部门检定或校准后的合格报告。</w:t>
      </w:r>
    </w:p>
    <w:p>
      <w:pPr>
        <w:pStyle w:val="null3"/>
        <w:ind w:firstLine="420"/>
        <w:jc w:val="both"/>
      </w:pPr>
      <w:r>
        <w:rPr>
          <w:rFonts w:ascii="仿宋_GB2312" w:hAnsi="仿宋_GB2312" w:cs="仿宋_GB2312" w:eastAsia="仿宋_GB2312"/>
          <w:sz w:val="21"/>
        </w:rPr>
        <w:t>10)合同中要求的其它文件资料。</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b/>
        </w:rPr>
        <w:t>12、质保期和售后服务要求</w:t>
      </w:r>
    </w:p>
    <w:p>
      <w:pPr>
        <w:pStyle w:val="null3"/>
        <w:ind w:firstLine="420"/>
        <w:jc w:val="both"/>
      </w:pPr>
      <w:r>
        <w:rPr>
          <w:rFonts w:ascii="仿宋_GB2312" w:hAnsi="仿宋_GB2312" w:cs="仿宋_GB2312" w:eastAsia="仿宋_GB2312"/>
          <w:sz w:val="21"/>
        </w:rPr>
        <w:t>12.1本项目中标人须按招标文件文件的要求提供合格的产品，承诺自初验收合格之日起</w:t>
      </w:r>
      <w:r>
        <w:rPr>
          <w:rFonts w:ascii="仿宋_GB2312" w:hAnsi="仿宋_GB2312" w:cs="仿宋_GB2312" w:eastAsia="仿宋_GB2312"/>
          <w:sz w:val="21"/>
          <w:b/>
        </w:rPr>
        <w:t>质保期为</w:t>
      </w:r>
      <w:r>
        <w:rPr>
          <w:rFonts w:ascii="仿宋_GB2312" w:hAnsi="仿宋_GB2312" w:cs="仿宋_GB2312" w:eastAsia="仿宋_GB2312"/>
          <w:sz w:val="21"/>
          <w:b/>
        </w:rPr>
        <w:t>≥</w:t>
      </w:r>
      <w:r>
        <w:rPr>
          <w:rFonts w:ascii="仿宋_GB2312" w:hAnsi="仿宋_GB2312" w:cs="仿宋_GB2312" w:eastAsia="仿宋_GB2312"/>
          <w:sz w:val="21"/>
          <w:b/>
        </w:rPr>
        <w:t>2</w:t>
      </w:r>
      <w:r>
        <w:rPr>
          <w:rFonts w:ascii="仿宋_GB2312" w:hAnsi="仿宋_GB2312" w:cs="仿宋_GB2312" w:eastAsia="仿宋_GB2312"/>
          <w:sz w:val="21"/>
          <w:b/>
        </w:rPr>
        <w:t>年</w:t>
      </w:r>
      <w:r>
        <w:rPr>
          <w:rFonts w:ascii="仿宋_GB2312" w:hAnsi="仿宋_GB2312" w:cs="仿宋_GB2312" w:eastAsia="仿宋_GB2312"/>
          <w:sz w:val="21"/>
        </w:rPr>
        <w:t>。质保期内，须按合同条款提服务，非因操作不当造成要更换的零配件，由中标人负责包修、包换（含所有水过滤耗材及更换人工费）。如果由于中标人产品缺陷所导致的升级费用由中标人承担，由于采购人提出新的功能所引起的升级费用由双方协商解决。免费保修期满前</w:t>
      </w:r>
      <w:r>
        <w:rPr>
          <w:rFonts w:ascii="仿宋_GB2312" w:hAnsi="仿宋_GB2312" w:cs="仿宋_GB2312" w:eastAsia="仿宋_GB2312"/>
          <w:sz w:val="21"/>
        </w:rPr>
        <w:t>1个月内，中标人应负责对设备进行一次免费全面检查，如发现潜在问题，应负责排除，保证设备正常运行。</w:t>
      </w:r>
    </w:p>
    <w:p>
      <w:pPr>
        <w:pStyle w:val="null3"/>
        <w:ind w:firstLine="420"/>
        <w:jc w:val="left"/>
      </w:pPr>
      <w:r>
        <w:rPr>
          <w:rFonts w:ascii="仿宋_GB2312" w:hAnsi="仿宋_GB2312" w:cs="仿宋_GB2312" w:eastAsia="仿宋_GB2312"/>
          <w:sz w:val="21"/>
        </w:rPr>
        <w:t>12.2 在免费保修期内设备运行发生故障时中标人在接到采购人故障通知后</w:t>
      </w:r>
      <w:r>
        <w:rPr>
          <w:rFonts w:ascii="仿宋_GB2312" w:hAnsi="仿宋_GB2312" w:cs="仿宋_GB2312" w:eastAsia="仿宋_GB2312"/>
          <w:sz w:val="21"/>
        </w:rPr>
        <w:t>2</w:t>
      </w:r>
      <w:r>
        <w:rPr>
          <w:rFonts w:ascii="仿宋_GB2312" w:hAnsi="仿宋_GB2312" w:cs="仿宋_GB2312" w:eastAsia="仿宋_GB2312"/>
          <w:sz w:val="21"/>
        </w:rPr>
        <w:t>小时内响应，并在</w:t>
      </w:r>
      <w:r>
        <w:rPr>
          <w:rFonts w:ascii="仿宋_GB2312" w:hAnsi="仿宋_GB2312" w:cs="仿宋_GB2312" w:eastAsia="仿宋_GB2312"/>
          <w:sz w:val="21"/>
        </w:rPr>
        <w:t>4</w:t>
      </w:r>
      <w:r>
        <w:rPr>
          <w:rFonts w:ascii="仿宋_GB2312" w:hAnsi="仿宋_GB2312" w:cs="仿宋_GB2312" w:eastAsia="仿宋_GB2312"/>
          <w:sz w:val="21"/>
        </w:rPr>
        <w:t>小时内到达现场，负责修理或更换有缺陷的零部件或整机并及时填写维修报告报采购人备案；</w:t>
      </w:r>
      <w:r>
        <w:rPr>
          <w:rFonts w:ascii="仿宋_GB2312" w:hAnsi="仿宋_GB2312" w:cs="仿宋_GB2312" w:eastAsia="仿宋_GB2312"/>
          <w:sz w:val="21"/>
        </w:rPr>
        <w:t>48小时内不能排除故障的，免费保修期内中标人应予以更换新设备或提供代用设备。其中发生一切费用由中标人承担。质量保证期内中标人有责任对设备进行不定期的巡查检修。如质保期内同一故障发生三次，或同一故障在两个月内无法修复，中标人无条件换货；因中标人提供的货物存在质量问题，被采购人在验收合格日起半年内累计有五次以上投诉质量方面相关问题等影响采购人正常使用的，中标人需无偿更换存在质量问题的货物，更换的免费保修期从更换之日起相应顺延；半年内累计有十次以上投诉质量方面相关问题等严重影响采购人正常使用的，采购人有权单方面</w:t>
      </w:r>
      <w:r>
        <w:rPr>
          <w:rFonts w:ascii="仿宋_GB2312" w:hAnsi="仿宋_GB2312" w:cs="仿宋_GB2312" w:eastAsia="仿宋_GB2312"/>
          <w:sz w:val="21"/>
        </w:rPr>
        <w:t>解除</w:t>
      </w:r>
      <w:r>
        <w:rPr>
          <w:rFonts w:ascii="仿宋_GB2312" w:hAnsi="仿宋_GB2312" w:cs="仿宋_GB2312" w:eastAsia="仿宋_GB2312"/>
          <w:sz w:val="21"/>
        </w:rPr>
        <w:t>合同；</w:t>
      </w:r>
      <w:r>
        <w:rPr>
          <w:rFonts w:ascii="仿宋_GB2312" w:hAnsi="仿宋_GB2312" w:cs="仿宋_GB2312" w:eastAsia="仿宋_GB2312"/>
          <w:sz w:val="21"/>
        </w:rPr>
        <w:t>要求中标人返还所有款项，并支付合同金额</w:t>
      </w:r>
      <w:r>
        <w:rPr>
          <w:rFonts w:ascii="仿宋_GB2312" w:hAnsi="仿宋_GB2312" w:cs="仿宋_GB2312" w:eastAsia="仿宋_GB2312"/>
          <w:sz w:val="21"/>
        </w:rPr>
        <w:t>30%的违约金，</w:t>
      </w:r>
      <w:r>
        <w:rPr>
          <w:rFonts w:ascii="仿宋_GB2312" w:hAnsi="仿宋_GB2312" w:cs="仿宋_GB2312" w:eastAsia="仿宋_GB2312"/>
          <w:sz w:val="21"/>
        </w:rPr>
        <w:t>造成采购人损失的，中标人还应予以赔偿。</w:t>
      </w:r>
    </w:p>
    <w:p>
      <w:pPr>
        <w:pStyle w:val="null3"/>
        <w:ind w:firstLine="420"/>
        <w:jc w:val="left"/>
      </w:pPr>
      <w:r>
        <w:rPr>
          <w:rFonts w:ascii="仿宋_GB2312" w:hAnsi="仿宋_GB2312" w:cs="仿宋_GB2312" w:eastAsia="仿宋_GB2312"/>
          <w:sz w:val="21"/>
        </w:rPr>
        <w:t>12.3中标人可视自身能力在投标文件中提供更优、更合理的维修服务承诺。</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b/>
        </w:rPr>
        <w:t>13、专用工具、特殊工具与配品配件</w:t>
      </w:r>
    </w:p>
    <w:p>
      <w:pPr>
        <w:pStyle w:val="null3"/>
        <w:ind w:firstLine="420"/>
        <w:jc w:val="both"/>
      </w:pPr>
      <w:r>
        <w:rPr>
          <w:rFonts w:ascii="仿宋_GB2312" w:hAnsi="仿宋_GB2312" w:cs="仿宋_GB2312" w:eastAsia="仿宋_GB2312"/>
          <w:sz w:val="21"/>
        </w:rPr>
        <w:t>13.1专用工具：中标人应向采购人提供一套维修所需的专用工具及清单(若有)并在报价文件中提供，其费用包括在投标报价中。</w:t>
      </w:r>
    </w:p>
    <w:p>
      <w:pPr>
        <w:pStyle w:val="null3"/>
        <w:ind w:firstLine="420"/>
        <w:jc w:val="both"/>
      </w:pPr>
      <w:r>
        <w:rPr>
          <w:rFonts w:ascii="仿宋_GB2312" w:hAnsi="仿宋_GB2312" w:cs="仿宋_GB2312" w:eastAsia="仿宋_GB2312"/>
          <w:sz w:val="21"/>
        </w:rPr>
        <w:t>13.2特殊工具：中标人应向采购人提供系统安装和维修所需的特殊专用工具及清单(若有)并在报价文件中提供，其费用包括在投标报价中。</w:t>
      </w:r>
    </w:p>
    <w:p>
      <w:pPr>
        <w:pStyle w:val="null3"/>
        <w:ind w:firstLine="420"/>
        <w:jc w:val="both"/>
      </w:pPr>
      <w:r>
        <w:rPr>
          <w:rFonts w:ascii="仿宋_GB2312" w:hAnsi="仿宋_GB2312" w:cs="仿宋_GB2312" w:eastAsia="仿宋_GB2312"/>
          <w:sz w:val="21"/>
        </w:rPr>
        <w:t>13.3备品备件：中标人应提供设备在质量保证期内所需的备品备件(若有)，其费用含在投标报价中。</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b/>
        </w:rPr>
        <w:t>14、违约责任</w:t>
      </w:r>
    </w:p>
    <w:p>
      <w:pPr>
        <w:pStyle w:val="null3"/>
        <w:ind w:firstLine="420"/>
        <w:jc w:val="both"/>
      </w:pPr>
      <w:r>
        <w:rPr>
          <w:rFonts w:ascii="仿宋_GB2312" w:hAnsi="仿宋_GB2312" w:cs="仿宋_GB2312" w:eastAsia="仿宋_GB2312"/>
          <w:sz w:val="21"/>
        </w:rPr>
        <w:t>14.1如果中标人未能按合同规定的时间按时足额交货的（</w:t>
      </w:r>
      <w:r>
        <w:rPr>
          <w:rFonts w:ascii="仿宋_GB2312" w:hAnsi="仿宋_GB2312" w:cs="仿宋_GB2312" w:eastAsia="仿宋_GB2312"/>
          <w:sz w:val="21"/>
        </w:rPr>
        <w:t>含因验收不合格而免费更换期间，</w:t>
      </w:r>
      <w:r>
        <w:rPr>
          <w:rFonts w:ascii="仿宋_GB2312" w:hAnsi="仿宋_GB2312" w:cs="仿宋_GB2312" w:eastAsia="仿宋_GB2312"/>
          <w:sz w:val="21"/>
        </w:rPr>
        <w:t>不可抗力除外），在中标人书面同意支付延期交货违约金的条件下，采购人有权选择同意延长交货期还是不予延长交货期，采购人同意延长交货期的，延期交货的时间由双方另行确定。延期交货违约金的支付采购人有权从未付的货物价款中扣除。延期交货违约金比率为每迟交</w:t>
      </w:r>
      <w:r>
        <w:rPr>
          <w:rFonts w:ascii="仿宋_GB2312" w:hAnsi="仿宋_GB2312" w:cs="仿宋_GB2312" w:eastAsia="仿宋_GB2312"/>
          <w:sz w:val="21"/>
        </w:rPr>
        <w:t>1天，按迟交货物价款的</w:t>
      </w:r>
      <w:r>
        <w:rPr>
          <w:rFonts w:ascii="仿宋_GB2312" w:hAnsi="仿宋_GB2312" w:cs="仿宋_GB2312" w:eastAsia="仿宋_GB2312"/>
          <w:sz w:val="21"/>
        </w:rPr>
        <w:t>万分之五</w:t>
      </w:r>
      <w:r>
        <w:rPr>
          <w:rFonts w:ascii="仿宋_GB2312" w:hAnsi="仿宋_GB2312" w:cs="仿宋_GB2312" w:eastAsia="仿宋_GB2312"/>
          <w:sz w:val="21"/>
        </w:rPr>
        <w:t>。若中标人逾期交货达</w:t>
      </w:r>
      <w:r>
        <w:rPr>
          <w:rFonts w:ascii="仿宋_GB2312" w:hAnsi="仿宋_GB2312" w:cs="仿宋_GB2312" w:eastAsia="仿宋_GB2312"/>
          <w:sz w:val="21"/>
        </w:rPr>
        <w:t>30天（含30天）以上的，采购人有权单方解除本合同</w:t>
      </w:r>
      <w:r>
        <w:rPr>
          <w:rFonts w:ascii="仿宋_GB2312" w:hAnsi="仿宋_GB2312" w:cs="仿宋_GB2312" w:eastAsia="仿宋_GB2312"/>
          <w:sz w:val="21"/>
        </w:rPr>
        <w:t>或者选择解除逾期交付的部分合同</w:t>
      </w:r>
      <w:r>
        <w:rPr>
          <w:rFonts w:ascii="仿宋_GB2312" w:hAnsi="仿宋_GB2312" w:cs="仿宋_GB2312" w:eastAsia="仿宋_GB2312"/>
          <w:sz w:val="21"/>
        </w:rPr>
        <w:t>，中标人</w:t>
      </w:r>
      <w:r>
        <w:rPr>
          <w:rFonts w:ascii="仿宋_GB2312" w:hAnsi="仿宋_GB2312" w:cs="仿宋_GB2312" w:eastAsia="仿宋_GB2312"/>
          <w:sz w:val="21"/>
        </w:rPr>
        <w:t>应当退还已付的款项，且</w:t>
      </w:r>
      <w:r>
        <w:rPr>
          <w:rFonts w:ascii="仿宋_GB2312" w:hAnsi="仿宋_GB2312" w:cs="仿宋_GB2312" w:eastAsia="仿宋_GB2312"/>
          <w:sz w:val="21"/>
        </w:rPr>
        <w:t>仍应按上述约定支付延期交货违约金。若因此给采购人造成损失的，还应赔偿采购人所受的损失。</w:t>
      </w:r>
    </w:p>
    <w:p>
      <w:pPr>
        <w:pStyle w:val="null3"/>
        <w:ind w:firstLine="420"/>
        <w:jc w:val="left"/>
      </w:pPr>
      <w:r>
        <w:rPr>
          <w:rFonts w:ascii="仿宋_GB2312" w:hAnsi="仿宋_GB2312" w:cs="仿宋_GB2312" w:eastAsia="仿宋_GB2312"/>
          <w:sz w:val="21"/>
        </w:rPr>
        <w:t>14.2若中标人交货不合格从而影响采购人正常使用的，</w:t>
      </w:r>
      <w:r>
        <w:rPr>
          <w:rFonts w:ascii="仿宋_GB2312" w:hAnsi="仿宋_GB2312" w:cs="仿宋_GB2312" w:eastAsia="仿宋_GB2312"/>
          <w:sz w:val="21"/>
        </w:rPr>
        <w:t>采购人有权要求中标人免费更换，</w:t>
      </w:r>
      <w:r>
        <w:rPr>
          <w:rFonts w:ascii="仿宋_GB2312" w:hAnsi="仿宋_GB2312" w:cs="仿宋_GB2312" w:eastAsia="仿宋_GB2312"/>
          <w:sz w:val="21"/>
        </w:rPr>
        <w:t>中标人应向采购人偿付合同价款的</w:t>
      </w:r>
      <w:r>
        <w:rPr>
          <w:rFonts w:ascii="仿宋_GB2312" w:hAnsi="仿宋_GB2312" w:cs="仿宋_GB2312" w:eastAsia="仿宋_GB2312"/>
          <w:sz w:val="21"/>
        </w:rPr>
        <w:t>5％的违约金。违约金不足以补偿损失的，采购人有权要求中标人赔偿损失。</w:t>
      </w:r>
    </w:p>
    <w:p>
      <w:pPr>
        <w:pStyle w:val="null3"/>
        <w:ind w:firstLine="420"/>
        <w:jc w:val="left"/>
      </w:pPr>
      <w:r>
        <w:rPr>
          <w:rFonts w:ascii="仿宋_GB2312" w:hAnsi="仿宋_GB2312" w:cs="仿宋_GB2312" w:eastAsia="仿宋_GB2312"/>
          <w:sz w:val="21"/>
        </w:rPr>
        <w:t>14.3如果中标人未能按照合同约定的时间提供</w:t>
      </w:r>
      <w:r>
        <w:rPr>
          <w:rFonts w:ascii="仿宋_GB2312" w:hAnsi="仿宋_GB2312" w:cs="仿宋_GB2312" w:eastAsia="仿宋_GB2312"/>
          <w:sz w:val="21"/>
        </w:rPr>
        <w:t>安装、培训、维护等</w:t>
      </w:r>
      <w:r>
        <w:rPr>
          <w:rFonts w:ascii="仿宋_GB2312" w:hAnsi="仿宋_GB2312" w:cs="仿宋_GB2312" w:eastAsia="仿宋_GB2312"/>
          <w:sz w:val="21"/>
        </w:rPr>
        <w:t>服务的，每逾期</w:t>
      </w:r>
      <w:r>
        <w:rPr>
          <w:rFonts w:ascii="仿宋_GB2312" w:hAnsi="仿宋_GB2312" w:cs="仿宋_GB2312" w:eastAsia="仿宋_GB2312"/>
          <w:sz w:val="21"/>
        </w:rPr>
        <w:t>1天的，中标人应向采购人支付1000元违约金，若因此给采购人造成损失的，中标人还应赔偿采购人所受的损失。</w:t>
      </w:r>
    </w:p>
    <w:p>
      <w:pPr>
        <w:pStyle w:val="null3"/>
        <w:ind w:firstLine="420"/>
        <w:jc w:val="left"/>
      </w:pPr>
      <w:r>
        <w:rPr>
          <w:rFonts w:ascii="仿宋_GB2312" w:hAnsi="仿宋_GB2312" w:cs="仿宋_GB2312" w:eastAsia="仿宋_GB2312"/>
          <w:sz w:val="21"/>
        </w:rPr>
        <w:t>14.4因中标人原因造成采购供货合同无法按时签订，视为中标人违约，采购人有权没收其投标保证金，如投标保证金不能弥补中标人违约对采购人造成的损失的，中标人还需另行支付相应的赔偿。</w:t>
      </w:r>
    </w:p>
    <w:p>
      <w:pPr>
        <w:pStyle w:val="null3"/>
        <w:ind w:firstLine="420"/>
        <w:jc w:val="left"/>
      </w:pPr>
      <w:r>
        <w:rPr>
          <w:rFonts w:ascii="仿宋_GB2312" w:hAnsi="仿宋_GB2312" w:cs="仿宋_GB2312" w:eastAsia="仿宋_GB2312"/>
          <w:sz w:val="21"/>
        </w:rPr>
        <w:t>14.5在签定采购合同之后，中标人要求解除合同的，视为中标人违约，对采购人造成的损失的，中标人需支付相应的赔偿。</w:t>
      </w:r>
    </w:p>
    <w:p>
      <w:pPr>
        <w:pStyle w:val="null3"/>
        <w:ind w:firstLine="420"/>
        <w:jc w:val="left"/>
      </w:pPr>
      <w:r>
        <w:rPr>
          <w:rFonts w:ascii="仿宋_GB2312" w:hAnsi="仿宋_GB2312" w:cs="仿宋_GB2312" w:eastAsia="仿宋_GB2312"/>
          <w:sz w:val="21"/>
        </w:rPr>
        <w:t>14.6因中标人原因所造成的人员伤亡方面的任何责任应受适用的中国法律规定的管辖和制约。由于中标人违反合同造成采购人货物或财产的灭失或损坏，或因采购人在中国境内使用合同设备遭受第三方侵权指控而产生的相应损失，中标人应承担全部责任，并赔偿给采购人造成的损失。</w:t>
      </w:r>
    </w:p>
    <w:p>
      <w:pPr>
        <w:pStyle w:val="null3"/>
        <w:ind w:firstLine="420"/>
        <w:jc w:val="left"/>
      </w:pPr>
      <w:r>
        <w:rPr>
          <w:rFonts w:ascii="仿宋_GB2312" w:hAnsi="仿宋_GB2312" w:cs="仿宋_GB2312" w:eastAsia="仿宋_GB2312"/>
          <w:sz w:val="21"/>
        </w:rPr>
        <w:t>14.7因中标人原因发生质量事故、安全事故的，由中标人承担事故全部赔偿责任。同时，采购人有权终止合同，给采购人造成损失的，还应承担赔偿责任。</w:t>
      </w:r>
    </w:p>
    <w:p>
      <w:pPr>
        <w:pStyle w:val="null3"/>
        <w:ind w:firstLine="420"/>
        <w:jc w:val="left"/>
      </w:pPr>
      <w:r>
        <w:rPr>
          <w:rFonts w:ascii="仿宋_GB2312" w:hAnsi="仿宋_GB2312" w:cs="仿宋_GB2312" w:eastAsia="仿宋_GB2312"/>
          <w:sz w:val="21"/>
        </w:rPr>
        <w:t>14.8中标人派出人员在执行任务过程中，需做好安全防护措施，若发生安全事故，由中标人负全部责任，与采购人无关。</w:t>
      </w:r>
    </w:p>
    <w:p>
      <w:pPr>
        <w:pStyle w:val="null3"/>
        <w:ind w:firstLine="420"/>
        <w:jc w:val="left"/>
      </w:pPr>
      <w:r>
        <w:rPr>
          <w:rFonts w:ascii="仿宋_GB2312" w:hAnsi="仿宋_GB2312" w:cs="仿宋_GB2312" w:eastAsia="仿宋_GB2312"/>
          <w:sz w:val="21"/>
        </w:rPr>
        <w:t>14.9中标人派出人员在执行任务过程中，因操作不当造成采购人财产损失的，由中标人负全部赔偿责任。</w:t>
      </w:r>
    </w:p>
    <w:p>
      <w:pPr>
        <w:pStyle w:val="null3"/>
        <w:ind w:firstLine="420"/>
        <w:jc w:val="left"/>
      </w:pPr>
      <w:r>
        <w:rPr>
          <w:rFonts w:ascii="仿宋_GB2312" w:hAnsi="仿宋_GB2312" w:cs="仿宋_GB2312" w:eastAsia="仿宋_GB2312"/>
          <w:sz w:val="21"/>
        </w:rPr>
        <w:t>14.10在明确违约责任后，中标人应在接到书面通知书起七天内支付违约金、赔偿金等。</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outlineLvl w:val="0"/>
      </w:pPr>
      <w:r>
        <w:rPr>
          <w:rFonts w:ascii="仿宋_GB2312" w:hAnsi="仿宋_GB2312" w:cs="仿宋_GB2312" w:eastAsia="仿宋_GB2312"/>
          <w:sz w:val="48"/>
          <w:b/>
        </w:rPr>
        <w:t xml:space="preserve"> 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①开标（报价）一览表</w:t>
      </w:r>
    </w:p>
    <w:p>
      <w:pPr>
        <w:pStyle w:val="null3"/>
        <w:ind w:firstLine="480"/>
        <w:jc w:val="left"/>
      </w:pPr>
      <w:r>
        <w:rPr>
          <w:rFonts w:ascii="仿宋_GB2312" w:hAnsi="仿宋_GB2312" w:cs="仿宋_GB2312" w:eastAsia="仿宋_GB2312"/>
        </w:rPr>
        <w:t>②投标（响应）报价明细表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1.1所投采购包的投标报价详见“开标（报价）一览表”及“投标（响应）报价明细表”。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通信地址：</w:t>
      </w:r>
    </w:p>
    <w:p>
      <w:pPr>
        <w:pStyle w:val="null3"/>
        <w:ind w:firstLine="480"/>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二-2-2 资格证明材料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二-4中小企业声明函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残疾人福利性单位声明函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二-7其他资格证明文件（若有）</w:t>
      </w:r>
    </w:p>
    <w:p>
      <w:pPr>
        <w:pStyle w:val="null3"/>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[350001]JYXM[GK]2024007-2</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福建省军用饮食供应站采购军供厨房炊事饮食机械项目(三次)</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1(饮食炊事机械)</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饮食炊事机械</w:t>
            </w:r>
          </w:p>
        </w:tc>
        <w:tc>
          <w:tcPr>
            <w:tcW w:type="dxa" w:w="1661"/>
          </w:tcPr>
          <w:p>
            <w:pPr>
              <w:pStyle w:val="null3"/>
              <w:jc w:val="left"/>
            </w:pPr>
            <w:r>
              <w:rPr>
                <w:rFonts w:ascii="仿宋_GB2312" w:hAnsi="仿宋_GB2312" w:cs="仿宋_GB2312" w:eastAsia="仿宋_GB2312"/>
              </w:rPr>
              <w:t xml:space="preserve"> 1120000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[350001]JYXM[GK]2024007-2</w:t>
      </w:r>
    </w:p>
    <w:p>
      <w:pPr>
        <w:pStyle w:val="null3"/>
        <w:jc w:val="left"/>
      </w:pPr>
      <w:r>
        <w:rPr>
          <w:rFonts w:ascii="仿宋_GB2312" w:hAnsi="仿宋_GB2312" w:cs="仿宋_GB2312" w:eastAsia="仿宋_GB2312"/>
        </w:rPr>
        <w:t>项目名称：</w:t>
      </w:r>
      <w:r>
        <w:rPr>
          <w:rFonts w:ascii="仿宋_GB2312" w:hAnsi="仿宋_GB2312" w:cs="仿宋_GB2312" w:eastAsia="仿宋_GB2312"/>
        </w:rPr>
        <w:t>福建省军用饮食供应站采购军供厨房炊事饮食机械项目(三次)</w:t>
      </w:r>
    </w:p>
    <w:p>
      <w:pPr>
        <w:pStyle w:val="null3"/>
        <w:jc w:val="left"/>
      </w:pPr>
      <w:r>
        <w:rPr>
          <w:rFonts w:ascii="仿宋_GB2312" w:hAnsi="仿宋_GB2312" w:cs="仿宋_GB2312" w:eastAsia="仿宋_GB2312"/>
        </w:rPr>
        <w:t>采购包：</w:t>
      </w:r>
      <w:r>
        <w:rPr>
          <w:rFonts w:ascii="仿宋_GB2312" w:hAnsi="仿宋_GB2312" w:cs="仿宋_GB2312" w:eastAsia="仿宋_GB2312"/>
        </w:rPr>
        <w:t>饮食炊事机械</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饮食炊事机械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c>
          <w:tcPr>
            <w:tcW w:type="dxa" w:w="639"/>
          </w:tcPr>
          <w:p>
            <w:pPr>
              <w:pStyle w:val="null3"/>
              <w:jc w:val="left"/>
            </w:pPr>
            <w:r>
              <w:rPr>
                <w:rFonts w:ascii="仿宋_GB2312" w:hAnsi="仿宋_GB2312" w:cs="仿宋_GB2312" w:eastAsia="仿宋_GB2312"/>
              </w:rPr>
              <w:t xml:space="preserve"> 总价</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饮食炊事机械</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1120000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批</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3.1同一品目中各认证证书不重复计算价格扣除。</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